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CDB317">
      <w:pPr>
        <w:pStyle w:val="130"/>
        <w:keepNext/>
        <w:keepLines w:val="0"/>
        <w:widowControl w:val="0"/>
        <w:kinsoku/>
        <w:wordWrap/>
        <w:overflowPunct/>
        <w:autoSpaceDE w:val="0"/>
        <w:autoSpaceDN w:val="0"/>
        <w:snapToGrid w:val="0"/>
        <w:spacing w:before="0" w:after="160" w:line="560" w:lineRule="exact"/>
        <w:ind w:left="0" w:right="0" w:firstLine="0"/>
        <w:jc w:val="center"/>
        <w:outlineLvl w:val="0"/>
        <w:rPr>
          <w:color w:val="000000" w:themeColor="text1"/>
          <w:u w:val="none"/>
          <w14:textFill>
            <w14:solidFill>
              <w14:schemeClr w14:val="tx1"/>
            </w14:solidFill>
          </w14:textFill>
        </w:rPr>
      </w:pPr>
      <w:r>
        <w:rPr>
          <w:rFonts w:ascii="微软雅黑" w:hAnsi="微软雅黑" w:eastAsia="微软雅黑" w:cs="微软雅黑"/>
          <w:b w:val="0"/>
          <w:bCs w:val="0"/>
          <w:i w:val="0"/>
          <w:color w:val="000000" w:themeColor="text1"/>
          <w:spacing w:val="0"/>
          <w:w w:val="100"/>
          <w:position w:val="0"/>
          <w:sz w:val="43"/>
          <w:szCs w:val="43"/>
          <w:u w:val="none"/>
          <w:lang w:val="en-US" w:eastAsia="zh-CN"/>
          <w14:textFill>
            <w14:solidFill>
              <w14:schemeClr w14:val="tx1"/>
            </w14:solidFill>
          </w14:textFill>
        </w:rPr>
        <w:t>全市性学术类社团评估要点（B类）</w:t>
      </w:r>
      <w:bookmarkStart w:id="0" w:name="_GoBack"/>
      <w:bookmarkEnd w:id="0"/>
    </w:p>
    <w:tbl>
      <w:tblPr>
        <w:tblStyle w:val="5"/>
        <w:tblW w:w="145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9"/>
        <w:gridCol w:w="1010"/>
        <w:gridCol w:w="1456"/>
        <w:gridCol w:w="560"/>
        <w:gridCol w:w="6368"/>
        <w:gridCol w:w="640"/>
        <w:gridCol w:w="560"/>
        <w:gridCol w:w="2965"/>
      </w:tblGrid>
      <w:tr w14:paraId="39260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20" w:hRule="atLeast"/>
          <w:tblHeader/>
          <w:jc w:val="center"/>
        </w:trPr>
        <w:tc>
          <w:tcPr>
            <w:tcW w:w="979" w:type="dxa"/>
            <w:tcMar>
              <w:top w:w="45" w:type="dxa"/>
              <w:left w:w="60" w:type="dxa"/>
              <w:bottom w:w="45" w:type="dxa"/>
              <w:right w:w="60" w:type="dxa"/>
            </w:tcMar>
            <w:vAlign w:val="center"/>
          </w:tcPr>
          <w:p w14:paraId="7306539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一级</w:t>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br w:type="textWrapping"/>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指标</w:t>
            </w:r>
          </w:p>
        </w:tc>
        <w:tc>
          <w:tcPr>
            <w:tcW w:w="1010" w:type="dxa"/>
            <w:tcMar>
              <w:top w:w="45" w:type="dxa"/>
              <w:left w:w="60" w:type="dxa"/>
              <w:bottom w:w="45" w:type="dxa"/>
              <w:right w:w="60" w:type="dxa"/>
            </w:tcMar>
            <w:vAlign w:val="center"/>
          </w:tcPr>
          <w:p w14:paraId="1C2471A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二级</w:t>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br w:type="textWrapping"/>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指标</w:t>
            </w:r>
          </w:p>
        </w:tc>
        <w:tc>
          <w:tcPr>
            <w:tcW w:w="1456" w:type="dxa"/>
            <w:tcMar>
              <w:top w:w="45" w:type="dxa"/>
              <w:left w:w="60" w:type="dxa"/>
              <w:bottom w:w="45" w:type="dxa"/>
              <w:right w:w="60" w:type="dxa"/>
            </w:tcMar>
            <w:vAlign w:val="center"/>
          </w:tcPr>
          <w:p w14:paraId="0FD858E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三级</w:t>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br w:type="textWrapping"/>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指标</w:t>
            </w:r>
          </w:p>
        </w:tc>
        <w:tc>
          <w:tcPr>
            <w:tcW w:w="560" w:type="dxa"/>
            <w:tcMar>
              <w:top w:w="45" w:type="dxa"/>
              <w:left w:w="20" w:type="dxa"/>
              <w:bottom w:w="45" w:type="dxa"/>
              <w:right w:w="20" w:type="dxa"/>
            </w:tcMar>
            <w:vAlign w:val="center"/>
          </w:tcPr>
          <w:p w14:paraId="1026239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分值</w:t>
            </w:r>
          </w:p>
        </w:tc>
        <w:tc>
          <w:tcPr>
            <w:tcW w:w="6368" w:type="dxa"/>
            <w:tcMar>
              <w:top w:w="45" w:type="dxa"/>
              <w:left w:w="60" w:type="dxa"/>
              <w:bottom w:w="45" w:type="dxa"/>
              <w:right w:w="60" w:type="dxa"/>
            </w:tcMar>
            <w:vAlign w:val="center"/>
          </w:tcPr>
          <w:p w14:paraId="2204987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考查要点</w:t>
            </w:r>
          </w:p>
        </w:tc>
        <w:tc>
          <w:tcPr>
            <w:tcW w:w="640" w:type="dxa"/>
            <w:tcMar>
              <w:top w:w="45" w:type="dxa"/>
              <w:left w:w="60" w:type="dxa"/>
              <w:bottom w:w="45" w:type="dxa"/>
              <w:right w:w="60" w:type="dxa"/>
            </w:tcMar>
            <w:vAlign w:val="center"/>
          </w:tcPr>
          <w:p w14:paraId="1035C8C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自评分</w:t>
            </w:r>
          </w:p>
        </w:tc>
        <w:tc>
          <w:tcPr>
            <w:tcW w:w="560" w:type="dxa"/>
            <w:tcMar>
              <w:top w:w="45" w:type="dxa"/>
              <w:left w:w="60" w:type="dxa"/>
              <w:bottom w:w="45" w:type="dxa"/>
              <w:right w:w="60" w:type="dxa"/>
            </w:tcMar>
            <w:vAlign w:val="center"/>
          </w:tcPr>
          <w:p w14:paraId="2495E07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专家评分</w:t>
            </w:r>
          </w:p>
        </w:tc>
        <w:tc>
          <w:tcPr>
            <w:tcW w:w="2965" w:type="dxa"/>
            <w:tcMar>
              <w:top w:w="45" w:type="dxa"/>
              <w:left w:w="60" w:type="dxa"/>
              <w:bottom w:w="45" w:type="dxa"/>
              <w:right w:w="60" w:type="dxa"/>
            </w:tcMar>
            <w:vAlign w:val="center"/>
          </w:tcPr>
          <w:p w14:paraId="3082F4B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hint="eastAsia"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评估材料目录</w:t>
            </w:r>
          </w:p>
        </w:tc>
      </w:tr>
      <w:tr w14:paraId="3AB31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restart"/>
            <w:tcMar>
              <w:top w:w="45" w:type="dxa"/>
              <w:left w:w="60" w:type="dxa"/>
              <w:bottom w:w="45" w:type="dxa"/>
              <w:right w:w="60" w:type="dxa"/>
            </w:tcMar>
            <w:vAlign w:val="center"/>
          </w:tcPr>
          <w:p w14:paraId="4BC6942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党的建设（10分）</w:t>
            </w:r>
          </w:p>
        </w:tc>
        <w:tc>
          <w:tcPr>
            <w:tcW w:w="1010" w:type="dxa"/>
            <w:vMerge w:val="restart"/>
            <w:tcMar>
              <w:top w:w="45" w:type="dxa"/>
              <w:left w:w="60" w:type="dxa"/>
              <w:bottom w:w="45" w:type="dxa"/>
              <w:right w:w="60" w:type="dxa"/>
            </w:tcMar>
            <w:vAlign w:val="center"/>
          </w:tcPr>
          <w:p w14:paraId="0594509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理论武装</w:t>
            </w:r>
          </w:p>
        </w:tc>
        <w:tc>
          <w:tcPr>
            <w:tcW w:w="1456" w:type="dxa"/>
            <w:tcMar>
              <w:top w:w="45" w:type="dxa"/>
              <w:left w:w="60" w:type="dxa"/>
              <w:bottom w:w="45" w:type="dxa"/>
              <w:right w:w="60" w:type="dxa"/>
            </w:tcMar>
            <w:vAlign w:val="center"/>
          </w:tcPr>
          <w:p w14:paraId="5DE266B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“第一议题”制度执行</w:t>
            </w:r>
          </w:p>
        </w:tc>
        <w:tc>
          <w:tcPr>
            <w:tcW w:w="560" w:type="dxa"/>
            <w:tcMar>
              <w:top w:w="45" w:type="dxa"/>
              <w:left w:w="20" w:type="dxa"/>
              <w:bottom w:w="45" w:type="dxa"/>
              <w:right w:w="20" w:type="dxa"/>
            </w:tcMar>
            <w:vAlign w:val="center"/>
          </w:tcPr>
          <w:p w14:paraId="75DF7D4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065F1C3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1.落实“第一议题”制度，学习贯彻习近平新时代中国特色社会主义思想；（0.5分）</w:t>
            </w:r>
          </w:p>
          <w:p w14:paraId="331ADF6F">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2.每年组织学习不少于3次。(0.5分）</w:t>
            </w:r>
          </w:p>
          <w:p w14:paraId="2899EB16">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□评估期内2年均组织集中学习不少于3次；</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97D1571">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□仅有1年达到规定学习次数的，视为部分落实；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494BDE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□2年均未达到规定学习次数的，视为未落实，不得分。</w:t>
            </w:r>
          </w:p>
        </w:tc>
        <w:tc>
          <w:tcPr>
            <w:tcW w:w="640" w:type="dxa"/>
            <w:tcMar>
              <w:top w:w="45" w:type="dxa"/>
              <w:left w:w="60" w:type="dxa"/>
              <w:bottom w:w="45" w:type="dxa"/>
              <w:right w:w="60" w:type="dxa"/>
            </w:tcMar>
            <w:vAlign w:val="center"/>
          </w:tcPr>
          <w:p w14:paraId="7B729D7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0CEA678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restart"/>
            <w:tcMar>
              <w:top w:w="45" w:type="dxa"/>
              <w:left w:w="60" w:type="dxa"/>
              <w:bottom w:w="45" w:type="dxa"/>
              <w:right w:w="60" w:type="dxa"/>
            </w:tcMar>
            <w:vAlign w:val="center"/>
          </w:tcPr>
          <w:p w14:paraId="7C651A68">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第一议题”制度落实材料，学习贯彻习近平新时代中国特色社会主义思想相关学习记录、会议纪要，意识形态工作责任制实施细则、配套管理制度及落实台账，意识形态风险排查相关材料，官方账号内容审核机制、发布内容合规性等相关材料，无意识形态领域舆情相关说明；</w:t>
            </w:r>
          </w:p>
          <w:p w14:paraId="46A240C5">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党组织成立批复文件/党建工作指导员制度文件，党员花名册（列明姓名、党内职务、社会组织任职、是否专职、党组织关系所属支部），党组织制度落实台账、“三会一课”、组织生活会、民主评议党员、主题党日活动等相关材料，党建工作规划、年度计划与总结，党员发展、教育、管理、组织关系管理、党费收缴相关材料，党组织换届相关材料；</w:t>
            </w:r>
          </w:p>
          <w:p w14:paraId="65524C6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3.现行章程及党建入章相关材料，党组织参与决策重大事项清单和党组织参与重大事项决策的证明材料，负责人与党组织班子成员“双向进入、交叉任职”相关材料，负责人年度述职、经济责任审计、责任追究、人员变动交接资料。</w:t>
            </w:r>
          </w:p>
        </w:tc>
      </w:tr>
      <w:tr w14:paraId="1216D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0AC7812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50E1945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697CE8E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意识形态工作责任制落实</w:t>
            </w:r>
          </w:p>
        </w:tc>
        <w:tc>
          <w:tcPr>
            <w:tcW w:w="560" w:type="dxa"/>
            <w:tcMar>
              <w:top w:w="45" w:type="dxa"/>
              <w:left w:w="20" w:type="dxa"/>
              <w:bottom w:w="45" w:type="dxa"/>
              <w:right w:w="20" w:type="dxa"/>
            </w:tcMar>
            <w:vAlign w:val="center"/>
          </w:tcPr>
          <w:p w14:paraId="719F3D8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368" w:type="dxa"/>
            <w:tcMar>
              <w:top w:w="45" w:type="dxa"/>
              <w:left w:w="60" w:type="dxa"/>
              <w:bottom w:w="45" w:type="dxa"/>
              <w:right w:w="60" w:type="dxa"/>
            </w:tcMar>
            <w:vAlign w:val="center"/>
          </w:tcPr>
          <w:p w14:paraId="5A30BC2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1.制定意识形态工作责任制实施细则及配套管理制度；(0.4分）</w:t>
            </w:r>
          </w:p>
          <w:p w14:paraId="0581FEF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2.按照实施细则开展意识形态风险排查；(0.6分）</w:t>
            </w:r>
          </w:p>
          <w:p w14:paraId="5CFF743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3.官方账号发布内容合规，建立内容审核机制，无违规信息发布；(0.2分）</w:t>
            </w:r>
          </w:p>
          <w:p w14:paraId="4041E5F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4.无意识形态领域舆情。(0.3分）</w:t>
            </w:r>
          </w:p>
        </w:tc>
        <w:tc>
          <w:tcPr>
            <w:tcW w:w="640" w:type="dxa"/>
            <w:tcMar>
              <w:top w:w="45" w:type="dxa"/>
              <w:left w:w="60" w:type="dxa"/>
              <w:bottom w:w="45" w:type="dxa"/>
              <w:right w:w="60" w:type="dxa"/>
            </w:tcMar>
            <w:vAlign w:val="center"/>
          </w:tcPr>
          <w:p w14:paraId="79AC42B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101F156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0D72EF6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B230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7E3A6CF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restart"/>
            <w:tcMar>
              <w:top w:w="45" w:type="dxa"/>
              <w:left w:w="60" w:type="dxa"/>
              <w:bottom w:w="45" w:type="dxa"/>
              <w:right w:w="60" w:type="dxa"/>
            </w:tcMar>
            <w:vAlign w:val="center"/>
          </w:tcPr>
          <w:p w14:paraId="0F6D177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组织建设</w:t>
            </w:r>
          </w:p>
        </w:tc>
        <w:tc>
          <w:tcPr>
            <w:tcW w:w="1456" w:type="dxa"/>
            <w:tcMar>
              <w:top w:w="45" w:type="dxa"/>
              <w:left w:w="60" w:type="dxa"/>
              <w:bottom w:w="45" w:type="dxa"/>
              <w:right w:w="60" w:type="dxa"/>
            </w:tcMar>
            <w:vAlign w:val="center"/>
          </w:tcPr>
          <w:p w14:paraId="41F3C18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党组织建立</w:t>
            </w:r>
          </w:p>
        </w:tc>
        <w:tc>
          <w:tcPr>
            <w:tcW w:w="560" w:type="dxa"/>
            <w:tcMar>
              <w:top w:w="45" w:type="dxa"/>
              <w:left w:w="20" w:type="dxa"/>
              <w:bottom w:w="45" w:type="dxa"/>
              <w:right w:w="20" w:type="dxa"/>
            </w:tcMar>
            <w:vAlign w:val="center"/>
          </w:tcPr>
          <w:p w14:paraId="00214AC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368" w:type="dxa"/>
            <w:tcMar>
              <w:top w:w="45" w:type="dxa"/>
              <w:left w:w="60" w:type="dxa"/>
              <w:bottom w:w="45" w:type="dxa"/>
              <w:right w:w="60" w:type="dxa"/>
            </w:tcMar>
            <w:vAlign w:val="center"/>
          </w:tcPr>
          <w:p w14:paraId="4766E33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1.正式党员3人以上，按规定单独组建党组织；(1.5分）</w:t>
            </w:r>
          </w:p>
          <w:p w14:paraId="30F0D36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2.党员人数不足3人的，按规定建立联合党组织；(1分）</w:t>
            </w:r>
          </w:p>
          <w:p w14:paraId="6297A2DF">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3.不具备组建党组织的，建立党建工作指导员制度。(0.5分）</w:t>
            </w:r>
          </w:p>
          <w:p w14:paraId="789545C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注：三项不累计计分。</w:t>
            </w:r>
          </w:p>
        </w:tc>
        <w:tc>
          <w:tcPr>
            <w:tcW w:w="640" w:type="dxa"/>
            <w:tcMar>
              <w:top w:w="45" w:type="dxa"/>
              <w:left w:w="60" w:type="dxa"/>
              <w:bottom w:w="45" w:type="dxa"/>
              <w:right w:w="60" w:type="dxa"/>
            </w:tcMar>
            <w:vAlign w:val="center"/>
          </w:tcPr>
          <w:p w14:paraId="1BA50CE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2293529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24162C1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7BF4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6D4A8D9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726B9BB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20E20BB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党组织活动</w:t>
            </w:r>
          </w:p>
        </w:tc>
        <w:tc>
          <w:tcPr>
            <w:tcW w:w="560" w:type="dxa"/>
            <w:tcMar>
              <w:top w:w="45" w:type="dxa"/>
              <w:left w:w="20" w:type="dxa"/>
              <w:bottom w:w="45" w:type="dxa"/>
              <w:right w:w="20" w:type="dxa"/>
            </w:tcMar>
            <w:vAlign w:val="center"/>
          </w:tcPr>
          <w:p w14:paraId="44C4E79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368" w:type="dxa"/>
            <w:tcMar>
              <w:top w:w="45" w:type="dxa"/>
              <w:left w:w="60" w:type="dxa"/>
              <w:bottom w:w="45" w:type="dxa"/>
              <w:right w:w="60" w:type="dxa"/>
            </w:tcMar>
            <w:vAlign w:val="center"/>
          </w:tcPr>
          <w:p w14:paraId="4811E128">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“三会一课”落实情况；（1.5分）</w:t>
            </w:r>
          </w:p>
          <w:p w14:paraId="0E754947">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F385A74">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□评估期内仅1年落实；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（1分）</w:t>
            </w:r>
          </w:p>
          <w:p w14:paraId="0E7BE176">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□评估期内未落实或仅落实部分不得分；</w:t>
            </w:r>
          </w:p>
          <w:p w14:paraId="7A6321F9">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组织生活会、民主评议党员及主题党日活动落实情况；(1分）</w:t>
            </w:r>
          </w:p>
          <w:p w14:paraId="2E66908A">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（1分）</w:t>
            </w:r>
          </w:p>
          <w:p w14:paraId="1C9612BC">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□评估期内仅1年落实；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A318233">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评估期内未落实或仅落实部分不得分；</w:t>
            </w:r>
          </w:p>
          <w:p w14:paraId="0294C82E">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党建工作计划和总结。(0.5分）</w:t>
            </w:r>
          </w:p>
          <w:p w14:paraId="5A097595">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1B9B729">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□评估期内仅1年落实；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3599646">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□评估期内未落实或仅落实部分不得分；</w:t>
            </w:r>
          </w:p>
        </w:tc>
        <w:tc>
          <w:tcPr>
            <w:tcW w:w="640" w:type="dxa"/>
            <w:tcMar>
              <w:top w:w="45" w:type="dxa"/>
              <w:left w:w="60" w:type="dxa"/>
              <w:bottom w:w="45" w:type="dxa"/>
              <w:right w:w="60" w:type="dxa"/>
            </w:tcMar>
            <w:vAlign w:val="center"/>
          </w:tcPr>
          <w:p w14:paraId="6FCCCF5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78546F5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2B80B3C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95A0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019FBA3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29DC218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380C9E6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党员教育管理</w:t>
            </w:r>
          </w:p>
        </w:tc>
        <w:tc>
          <w:tcPr>
            <w:tcW w:w="560" w:type="dxa"/>
            <w:tcMar>
              <w:top w:w="45" w:type="dxa"/>
              <w:left w:w="20" w:type="dxa"/>
              <w:bottom w:w="45" w:type="dxa"/>
              <w:right w:w="20" w:type="dxa"/>
            </w:tcMar>
            <w:vAlign w:val="center"/>
          </w:tcPr>
          <w:p w14:paraId="1D61F63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368" w:type="dxa"/>
            <w:tcMar>
              <w:top w:w="45" w:type="dxa"/>
              <w:left w:w="60" w:type="dxa"/>
              <w:bottom w:w="45" w:type="dxa"/>
              <w:right w:w="60" w:type="dxa"/>
            </w:tcMar>
            <w:vAlign w:val="center"/>
          </w:tcPr>
          <w:p w14:paraId="429D1862">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党员发展、组织关系管理、党费收缴落实情况；(0.3分)</w:t>
            </w:r>
          </w:p>
          <w:p w14:paraId="2710A54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党员教育管理制度落实情况。(0.2分)</w:t>
            </w:r>
          </w:p>
        </w:tc>
        <w:tc>
          <w:tcPr>
            <w:tcW w:w="640" w:type="dxa"/>
            <w:tcMar>
              <w:top w:w="45" w:type="dxa"/>
              <w:left w:w="60" w:type="dxa"/>
              <w:bottom w:w="45" w:type="dxa"/>
              <w:right w:w="60" w:type="dxa"/>
            </w:tcMar>
            <w:vAlign w:val="center"/>
          </w:tcPr>
          <w:p w14:paraId="223EA07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639F24A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2F41436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9E8E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0F37FB6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restart"/>
            <w:tcMar>
              <w:top w:w="45" w:type="dxa"/>
              <w:left w:w="60" w:type="dxa"/>
              <w:bottom w:w="45" w:type="dxa"/>
              <w:right w:w="60" w:type="dxa"/>
            </w:tcMar>
            <w:vAlign w:val="center"/>
          </w:tcPr>
          <w:p w14:paraId="6193AED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加强党的领导</w:t>
            </w:r>
          </w:p>
        </w:tc>
        <w:tc>
          <w:tcPr>
            <w:tcW w:w="1456" w:type="dxa"/>
            <w:tcMar>
              <w:top w:w="45" w:type="dxa"/>
              <w:left w:w="60" w:type="dxa"/>
              <w:bottom w:w="45" w:type="dxa"/>
              <w:right w:w="60" w:type="dxa"/>
            </w:tcMar>
            <w:vAlign w:val="center"/>
          </w:tcPr>
          <w:p w14:paraId="7B5D8D6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党建与社会主义核心价值观入章程</w:t>
            </w:r>
          </w:p>
        </w:tc>
        <w:tc>
          <w:tcPr>
            <w:tcW w:w="560" w:type="dxa"/>
            <w:tcMar>
              <w:top w:w="45" w:type="dxa"/>
              <w:left w:w="20" w:type="dxa"/>
              <w:bottom w:w="45" w:type="dxa"/>
              <w:right w:w="20" w:type="dxa"/>
            </w:tcMar>
            <w:vAlign w:val="center"/>
          </w:tcPr>
          <w:p w14:paraId="6922FE9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427DA17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章程明确写入“本会坚持中国共产党的全面领导，根据《中国共产党章程》规定，设立中国共产党的组织，开展党的活动，为党组织的活动提供必要条件”等内容，并明确党组织设置形式、职责任务、基础保障等；(0.5分）</w:t>
            </w:r>
          </w:p>
          <w:p w14:paraId="0CDED0B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2.章程体现社会主义核心价值观有关内容。章程明确写入“本会遵守宪法、法律、法规和国家政策，践行社会主义核心价值观，遵守社会道德风尚，自觉加强廉政文化和诚信自律建设”等内容。(0.5分）</w:t>
            </w:r>
          </w:p>
        </w:tc>
        <w:tc>
          <w:tcPr>
            <w:tcW w:w="640" w:type="dxa"/>
            <w:tcMar>
              <w:top w:w="45" w:type="dxa"/>
              <w:left w:w="60" w:type="dxa"/>
              <w:bottom w:w="45" w:type="dxa"/>
              <w:right w:w="60" w:type="dxa"/>
            </w:tcMar>
            <w:vAlign w:val="center"/>
          </w:tcPr>
          <w:p w14:paraId="5CB104F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1EC9199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433D54F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D732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1F6D952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4D37BEC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2450CF1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党组织发挥作用</w:t>
            </w:r>
          </w:p>
        </w:tc>
        <w:tc>
          <w:tcPr>
            <w:tcW w:w="560" w:type="dxa"/>
            <w:tcMar>
              <w:top w:w="45" w:type="dxa"/>
              <w:left w:w="20" w:type="dxa"/>
              <w:bottom w:w="45" w:type="dxa"/>
              <w:right w:w="20" w:type="dxa"/>
            </w:tcMar>
            <w:vAlign w:val="center"/>
          </w:tcPr>
          <w:p w14:paraId="48DE207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368" w:type="dxa"/>
            <w:tcMar>
              <w:top w:w="45" w:type="dxa"/>
              <w:left w:w="60" w:type="dxa"/>
              <w:bottom w:w="45" w:type="dxa"/>
              <w:right w:w="60" w:type="dxa"/>
            </w:tcMar>
            <w:vAlign w:val="center"/>
          </w:tcPr>
          <w:p w14:paraId="76204A61">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负责人与党组织班子成员“双向进入、交叉任职”；(0.7分）</w:t>
            </w:r>
          </w:p>
          <w:p w14:paraId="4CBF97E2">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□有党组织书记，且党组织书记为负责人；(0.7分）</w:t>
            </w:r>
          </w:p>
          <w:p w14:paraId="7D49AF61">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有党组织书记，且党组织书记为理事会成员；</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B9E5A47">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□无党组织书记，或党组织书记非理事会成员不得分；</w:t>
            </w:r>
          </w:p>
          <w:p w14:paraId="11D9DBF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2.党组织制定参与决策重大事项清单，并有效参与重大事项决策。(0.8分）</w:t>
            </w:r>
          </w:p>
        </w:tc>
        <w:tc>
          <w:tcPr>
            <w:tcW w:w="640" w:type="dxa"/>
            <w:tcMar>
              <w:top w:w="45" w:type="dxa"/>
              <w:left w:w="60" w:type="dxa"/>
              <w:bottom w:w="45" w:type="dxa"/>
              <w:right w:w="60" w:type="dxa"/>
            </w:tcMar>
            <w:vAlign w:val="center"/>
          </w:tcPr>
          <w:p w14:paraId="324678D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133A0A3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1AB2423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9AE0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restart"/>
            <w:tcMar>
              <w:top w:w="45" w:type="dxa"/>
              <w:left w:w="60" w:type="dxa"/>
              <w:bottom w:w="45" w:type="dxa"/>
              <w:right w:w="60" w:type="dxa"/>
            </w:tcMar>
            <w:vAlign w:val="center"/>
          </w:tcPr>
          <w:p w14:paraId="64D517D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基础条件（10分）</w:t>
            </w:r>
          </w:p>
        </w:tc>
        <w:tc>
          <w:tcPr>
            <w:tcW w:w="1010" w:type="dxa"/>
            <w:vMerge w:val="restart"/>
            <w:tcMar>
              <w:top w:w="45" w:type="dxa"/>
              <w:left w:w="60" w:type="dxa"/>
              <w:bottom w:w="45" w:type="dxa"/>
              <w:right w:w="60" w:type="dxa"/>
            </w:tcMar>
            <w:vAlign w:val="center"/>
          </w:tcPr>
          <w:p w14:paraId="12C1B5A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法人资格</w:t>
            </w:r>
          </w:p>
        </w:tc>
        <w:tc>
          <w:tcPr>
            <w:tcW w:w="1456" w:type="dxa"/>
            <w:tcMar>
              <w:top w:w="45" w:type="dxa"/>
              <w:left w:w="60" w:type="dxa"/>
              <w:bottom w:w="45" w:type="dxa"/>
              <w:right w:w="60" w:type="dxa"/>
            </w:tcMar>
            <w:vAlign w:val="center"/>
          </w:tcPr>
          <w:p w14:paraId="5EE258B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法定代表人</w:t>
            </w:r>
          </w:p>
        </w:tc>
        <w:tc>
          <w:tcPr>
            <w:tcW w:w="560" w:type="dxa"/>
            <w:tcMar>
              <w:top w:w="45" w:type="dxa"/>
              <w:left w:w="20" w:type="dxa"/>
              <w:bottom w:w="45" w:type="dxa"/>
              <w:right w:w="20" w:type="dxa"/>
            </w:tcMar>
            <w:vAlign w:val="center"/>
          </w:tcPr>
          <w:p w14:paraId="6D13504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0.8</w:t>
            </w:r>
          </w:p>
        </w:tc>
        <w:tc>
          <w:tcPr>
            <w:tcW w:w="6368" w:type="dxa"/>
            <w:tcMar>
              <w:top w:w="45" w:type="dxa"/>
              <w:left w:w="60" w:type="dxa"/>
              <w:bottom w:w="45" w:type="dxa"/>
              <w:right w:w="60" w:type="dxa"/>
            </w:tcMar>
            <w:vAlign w:val="center"/>
          </w:tcPr>
          <w:p w14:paraId="5AAA499A">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法定代表人任职资格符合规定，无禁止情形；(0.5分）</w:t>
            </w:r>
          </w:p>
          <w:p w14:paraId="433B6AAA">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□无民事行为能力或者限制民事行为能力的；</w:t>
            </w:r>
          </w:p>
          <w:p w14:paraId="0E7093A5">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□正在被执行刑罚或者正在被执行刑事强制措施的；</w:t>
            </w:r>
          </w:p>
          <w:p w14:paraId="272F3566">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□正在被公安机关或者国家安全机关通缉的；</w:t>
            </w:r>
          </w:p>
          <w:p w14:paraId="4DA2491C">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□因受开除党籍处分未逾5年的，或者因犯罪刑满释放未逾5年的；</w:t>
            </w:r>
          </w:p>
          <w:p w14:paraId="0C37CC9F">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□担任因违法被撤销登记的其他社会组织的法定代表人，自该单位被撤销登记之日起未逾3年的；</w:t>
            </w:r>
          </w:p>
          <w:p w14:paraId="1332E7A8">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□选举任职时超龄（有批准文件的除外）；</w:t>
            </w:r>
          </w:p>
          <w:p w14:paraId="5145744C">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连续担任两届以上</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（有批准文件的除外）；</w:t>
            </w:r>
          </w:p>
          <w:p w14:paraId="69AAC759">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□非负责人任法定代表人；</w:t>
            </w:r>
          </w:p>
          <w:p w14:paraId="0E1A2DC5">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□法律、法规规定不得担任法定代表人的其他情形。</w:t>
            </w:r>
          </w:p>
          <w:p w14:paraId="2A768E7A">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注：出现上述任何一种情况（有批准文件的除外），此项不得分；</w:t>
            </w:r>
          </w:p>
          <w:p w14:paraId="2F08855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2.提供前6个月内的个人征信报告，无不良记录。(0.3分）</w:t>
            </w:r>
          </w:p>
        </w:tc>
        <w:tc>
          <w:tcPr>
            <w:tcW w:w="640" w:type="dxa"/>
            <w:tcMar>
              <w:top w:w="45" w:type="dxa"/>
              <w:left w:w="60" w:type="dxa"/>
              <w:bottom w:w="45" w:type="dxa"/>
              <w:right w:w="60" w:type="dxa"/>
            </w:tcMar>
            <w:vAlign w:val="center"/>
          </w:tcPr>
          <w:p w14:paraId="04AA5F4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3A5EE71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restart"/>
            <w:tcMar>
              <w:top w:w="45" w:type="dxa"/>
              <w:left w:w="60" w:type="dxa"/>
              <w:bottom w:w="45" w:type="dxa"/>
              <w:right w:w="60" w:type="dxa"/>
            </w:tcMar>
            <w:vAlign w:val="center"/>
          </w:tcPr>
          <w:p w14:paraId="1F87DEB1">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1.法人登记证书（副本）复印件；</w:t>
            </w:r>
          </w:p>
          <w:p w14:paraId="1EFE2239">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2.法定代表人相关材料：工作经历、身份证复印件、评估材料报送前 6 个月内的个人征信证明、法定代表人产生及变更（若有）相关材料；</w:t>
            </w:r>
          </w:p>
          <w:p w14:paraId="780299EA">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3.年末净资产不低于注册资金的相关财务佐证；</w:t>
            </w:r>
          </w:p>
          <w:p w14:paraId="150E3860">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4.名称使用规范证明材料；</w:t>
            </w:r>
          </w:p>
          <w:p w14:paraId="40108D5A">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5.办公场所使用产权证明/租赁协议等相关材料；</w:t>
            </w:r>
          </w:p>
          <w:p w14:paraId="05F9F524">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6.现行章程及章程核准批复、章程修改相关材料；</w:t>
            </w:r>
          </w:p>
          <w:p w14:paraId="3AFCE91E">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7.各类变更登记相关材料（名称、住所、法定代表人、业务范围、注册资金、业务主管单位等）；</w:t>
            </w:r>
          </w:p>
          <w:p w14:paraId="0798760D">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8.本届备案（换届备案）、负责人任职备案相关材料；</w:t>
            </w:r>
          </w:p>
          <w:p w14:paraId="05317570">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9.年度工作报告书、年度检查相关材料；</w:t>
            </w:r>
          </w:p>
          <w:p w14:paraId="1258AD9A">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10.重大事项报告制度、重大事项报告（备案）证明材料；</w:t>
            </w:r>
          </w:p>
          <w:p w14:paraId="0CDC0BC4">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11.涉外活动（若有）审批备案材料，及活动开展、总结报送相关材料；</w:t>
            </w:r>
          </w:p>
          <w:p w14:paraId="3D84AB9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12.信用管理相关材料，无失信记录证明材料。</w:t>
            </w:r>
          </w:p>
        </w:tc>
      </w:tr>
      <w:tr w14:paraId="75213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9" w:type="dxa"/>
            <w:vMerge w:val="continue"/>
            <w:tcMar>
              <w:top w:w="45" w:type="dxa"/>
              <w:left w:w="60" w:type="dxa"/>
              <w:bottom w:w="45" w:type="dxa"/>
              <w:right w:w="60" w:type="dxa"/>
            </w:tcMar>
            <w:vAlign w:val="center"/>
          </w:tcPr>
          <w:p w14:paraId="03BA397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2992BE0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5A93D54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活动资金</w:t>
            </w:r>
          </w:p>
        </w:tc>
        <w:tc>
          <w:tcPr>
            <w:tcW w:w="560" w:type="dxa"/>
            <w:tcMar>
              <w:top w:w="45" w:type="dxa"/>
              <w:left w:w="20" w:type="dxa"/>
              <w:bottom w:w="45" w:type="dxa"/>
              <w:right w:w="20" w:type="dxa"/>
            </w:tcMar>
            <w:vAlign w:val="center"/>
          </w:tcPr>
          <w:p w14:paraId="41EC2EC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3FB4DEE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1.年末净资产不低于注册资金；(0.7分）</w:t>
            </w:r>
          </w:p>
          <w:p w14:paraId="14007D74">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2.资金管理规范，无抽逃、挪用情况</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p>
          <w:p w14:paraId="5444723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注：评估期内任一年年末净资产低于注册资金，本项不得分。</w:t>
            </w:r>
          </w:p>
        </w:tc>
        <w:tc>
          <w:tcPr>
            <w:tcW w:w="640" w:type="dxa"/>
            <w:tcMar>
              <w:top w:w="45" w:type="dxa"/>
              <w:left w:w="60" w:type="dxa"/>
              <w:bottom w:w="45" w:type="dxa"/>
              <w:right w:w="60" w:type="dxa"/>
            </w:tcMar>
            <w:vAlign w:val="center"/>
          </w:tcPr>
          <w:p w14:paraId="750619E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22B6A3B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30B2555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2AD7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7DA4BAE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35E1609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08C753F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名称使用规范</w:t>
            </w:r>
          </w:p>
        </w:tc>
        <w:tc>
          <w:tcPr>
            <w:tcW w:w="560" w:type="dxa"/>
            <w:tcMar>
              <w:top w:w="45" w:type="dxa"/>
              <w:left w:w="20" w:type="dxa"/>
              <w:bottom w:w="45" w:type="dxa"/>
              <w:right w:w="20" w:type="dxa"/>
            </w:tcMar>
            <w:vAlign w:val="center"/>
          </w:tcPr>
          <w:p w14:paraId="5098B83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368" w:type="dxa"/>
            <w:tcMar>
              <w:top w:w="45" w:type="dxa"/>
              <w:left w:w="60" w:type="dxa"/>
              <w:bottom w:w="45" w:type="dxa"/>
              <w:right w:w="60" w:type="dxa"/>
            </w:tcMar>
            <w:vAlign w:val="center"/>
          </w:tcPr>
          <w:p w14:paraId="2043BF5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在办公场所显著位置悬挂名称牌匾，名称与登记证书名称一致。</w:t>
            </w:r>
          </w:p>
        </w:tc>
        <w:tc>
          <w:tcPr>
            <w:tcW w:w="640" w:type="dxa"/>
            <w:tcMar>
              <w:top w:w="45" w:type="dxa"/>
              <w:left w:w="60" w:type="dxa"/>
              <w:bottom w:w="45" w:type="dxa"/>
              <w:right w:w="60" w:type="dxa"/>
            </w:tcMar>
            <w:vAlign w:val="center"/>
          </w:tcPr>
          <w:p w14:paraId="199F787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326FFBD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2C8231A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A4BE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6D508E5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6187C4E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6E76D38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办公住所</w:t>
            </w:r>
          </w:p>
        </w:tc>
        <w:tc>
          <w:tcPr>
            <w:tcW w:w="560" w:type="dxa"/>
            <w:tcMar>
              <w:top w:w="45" w:type="dxa"/>
              <w:left w:w="20" w:type="dxa"/>
              <w:bottom w:w="45" w:type="dxa"/>
              <w:right w:w="20" w:type="dxa"/>
            </w:tcMar>
            <w:vAlign w:val="center"/>
          </w:tcPr>
          <w:p w14:paraId="5FF42A1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1.2</w:t>
            </w:r>
          </w:p>
        </w:tc>
        <w:tc>
          <w:tcPr>
            <w:tcW w:w="6368" w:type="dxa"/>
            <w:tcMar>
              <w:top w:w="45" w:type="dxa"/>
              <w:left w:w="60" w:type="dxa"/>
              <w:bottom w:w="45" w:type="dxa"/>
              <w:right w:w="60" w:type="dxa"/>
            </w:tcMar>
            <w:vAlign w:val="center"/>
          </w:tcPr>
          <w:p w14:paraId="2FF3140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1.有固定办公住所，住所面积满足工作需要；(0.6分）</w:t>
            </w:r>
          </w:p>
          <w:p w14:paraId="656830E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2.住所使用权证明合法有效；(0.3分）</w:t>
            </w:r>
          </w:p>
          <w:p w14:paraId="23828271">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3.主要办公住所与登记地址一致。(0.3分）</w:t>
            </w:r>
          </w:p>
          <w:p w14:paraId="61C8A59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无办公住所本项不得分。</w:t>
            </w:r>
          </w:p>
        </w:tc>
        <w:tc>
          <w:tcPr>
            <w:tcW w:w="640" w:type="dxa"/>
            <w:tcMar>
              <w:top w:w="45" w:type="dxa"/>
              <w:left w:w="60" w:type="dxa"/>
              <w:bottom w:w="45" w:type="dxa"/>
              <w:right w:w="60" w:type="dxa"/>
            </w:tcMar>
            <w:vAlign w:val="center"/>
          </w:tcPr>
          <w:p w14:paraId="1A23684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5C965B6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3C2476B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C99A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5992556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restart"/>
            <w:tcMar>
              <w:top w:w="45" w:type="dxa"/>
              <w:left w:w="60" w:type="dxa"/>
              <w:bottom w:w="45" w:type="dxa"/>
              <w:right w:w="60" w:type="dxa"/>
            </w:tcMar>
            <w:vAlign w:val="center"/>
          </w:tcPr>
          <w:p w14:paraId="096F7D0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登记管理</w:t>
            </w:r>
          </w:p>
        </w:tc>
        <w:tc>
          <w:tcPr>
            <w:tcW w:w="1456" w:type="dxa"/>
            <w:tcMar>
              <w:top w:w="45" w:type="dxa"/>
              <w:left w:w="60" w:type="dxa"/>
              <w:bottom w:w="45" w:type="dxa"/>
              <w:right w:w="60" w:type="dxa"/>
            </w:tcMar>
            <w:vAlign w:val="center"/>
          </w:tcPr>
          <w:p w14:paraId="560AD99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章程制定与执行</w:t>
            </w:r>
          </w:p>
        </w:tc>
        <w:tc>
          <w:tcPr>
            <w:tcW w:w="560" w:type="dxa"/>
            <w:tcMar>
              <w:top w:w="45" w:type="dxa"/>
              <w:left w:w="20" w:type="dxa"/>
              <w:bottom w:w="45" w:type="dxa"/>
              <w:right w:w="20" w:type="dxa"/>
            </w:tcMar>
            <w:vAlign w:val="center"/>
          </w:tcPr>
          <w:p w14:paraId="13FD0BF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6532200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1.章程制定（修改）程序符合规定，履行核准程序；(0.5分）</w:t>
            </w:r>
          </w:p>
          <w:p w14:paraId="25194EB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2.按章程开展活动。(0.5分）</w:t>
            </w:r>
          </w:p>
        </w:tc>
        <w:tc>
          <w:tcPr>
            <w:tcW w:w="640" w:type="dxa"/>
            <w:tcMar>
              <w:top w:w="45" w:type="dxa"/>
              <w:left w:w="60" w:type="dxa"/>
              <w:bottom w:w="45" w:type="dxa"/>
              <w:right w:w="60" w:type="dxa"/>
            </w:tcMar>
            <w:vAlign w:val="center"/>
          </w:tcPr>
          <w:p w14:paraId="7B51451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0F9C9EA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1875729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946B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025F7FA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4024DA7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restart"/>
            <w:tcMar>
              <w:top w:w="45" w:type="dxa"/>
              <w:left w:w="60" w:type="dxa"/>
              <w:bottom w:w="45" w:type="dxa"/>
              <w:right w:w="60" w:type="dxa"/>
            </w:tcMar>
            <w:vAlign w:val="center"/>
          </w:tcPr>
          <w:p w14:paraId="514A340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登记和备案</w:t>
            </w:r>
          </w:p>
        </w:tc>
        <w:tc>
          <w:tcPr>
            <w:tcW w:w="560" w:type="dxa"/>
            <w:tcMar>
              <w:top w:w="45" w:type="dxa"/>
              <w:left w:w="20" w:type="dxa"/>
              <w:bottom w:w="45" w:type="dxa"/>
              <w:right w:w="20" w:type="dxa"/>
            </w:tcMar>
            <w:vAlign w:val="center"/>
          </w:tcPr>
          <w:p w14:paraId="6AE39C1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368" w:type="dxa"/>
            <w:tcMar>
              <w:top w:w="45" w:type="dxa"/>
              <w:left w:w="60" w:type="dxa"/>
              <w:bottom w:w="45" w:type="dxa"/>
              <w:right w:w="60" w:type="dxa"/>
            </w:tcMar>
            <w:vAlign w:val="center"/>
          </w:tcPr>
          <w:p w14:paraId="2A371C39">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名称、住所、法定代表人、业务范围、注册资金、业务主管单位等按规定及时办理变更登记。</w:t>
            </w:r>
          </w:p>
          <w:p w14:paraId="1B9A8E9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注：未按规定及时办理变更登记的，缺1项扣0.2分，扣完为止；变更登记正在办理过程中(已报登记管理机关）视为按规定办理；未发生事项变动，此项不扣分。</w:t>
            </w:r>
          </w:p>
        </w:tc>
        <w:tc>
          <w:tcPr>
            <w:tcW w:w="640" w:type="dxa"/>
            <w:tcMar>
              <w:top w:w="45" w:type="dxa"/>
              <w:left w:w="60" w:type="dxa"/>
              <w:bottom w:w="45" w:type="dxa"/>
              <w:right w:w="60" w:type="dxa"/>
            </w:tcMar>
            <w:vAlign w:val="center"/>
          </w:tcPr>
          <w:p w14:paraId="464465B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7E8A143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4005C97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1E72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9" w:type="dxa"/>
            <w:vMerge w:val="continue"/>
            <w:tcMar>
              <w:top w:w="45" w:type="dxa"/>
              <w:left w:w="60" w:type="dxa"/>
              <w:bottom w:w="45" w:type="dxa"/>
              <w:right w:w="60" w:type="dxa"/>
            </w:tcMar>
            <w:vAlign w:val="center"/>
          </w:tcPr>
          <w:p w14:paraId="3E4D0D2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791B23F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06245FB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7C65959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0.8</w:t>
            </w:r>
          </w:p>
        </w:tc>
        <w:tc>
          <w:tcPr>
            <w:tcW w:w="6368" w:type="dxa"/>
            <w:tcMar>
              <w:top w:w="45" w:type="dxa"/>
              <w:left w:w="60" w:type="dxa"/>
              <w:bottom w:w="45" w:type="dxa"/>
              <w:right w:w="60" w:type="dxa"/>
            </w:tcMar>
            <w:vAlign w:val="center"/>
          </w:tcPr>
          <w:p w14:paraId="04A08DA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负责人按规定办理备案。</w:t>
            </w:r>
          </w:p>
        </w:tc>
        <w:tc>
          <w:tcPr>
            <w:tcW w:w="640" w:type="dxa"/>
            <w:tcMar>
              <w:top w:w="45" w:type="dxa"/>
              <w:left w:w="60" w:type="dxa"/>
              <w:bottom w:w="45" w:type="dxa"/>
              <w:right w:w="60" w:type="dxa"/>
            </w:tcMar>
            <w:vAlign w:val="center"/>
          </w:tcPr>
          <w:p w14:paraId="6B57F39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0FC0127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027A68D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B5ED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36E6F93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707CE5C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723A353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年度检查</w:t>
            </w:r>
          </w:p>
        </w:tc>
        <w:tc>
          <w:tcPr>
            <w:tcW w:w="560" w:type="dxa"/>
            <w:tcMar>
              <w:top w:w="45" w:type="dxa"/>
              <w:left w:w="20" w:type="dxa"/>
              <w:bottom w:w="45" w:type="dxa"/>
              <w:right w:w="20" w:type="dxa"/>
            </w:tcMar>
            <w:vAlign w:val="center"/>
          </w:tcPr>
          <w:p w14:paraId="1AB212E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368" w:type="dxa"/>
            <w:tcMar>
              <w:top w:w="45" w:type="dxa"/>
              <w:left w:w="60" w:type="dxa"/>
              <w:bottom w:w="45" w:type="dxa"/>
              <w:right w:w="60" w:type="dxa"/>
            </w:tcMar>
            <w:vAlign w:val="center"/>
          </w:tcPr>
          <w:p w14:paraId="212A94E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1.按时参加年度检查，近2年检查结论均为合格；（2分）</w:t>
            </w:r>
          </w:p>
          <w:p w14:paraId="7F02974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2.有一年年检结论为基本合格；(1分）</w:t>
            </w:r>
          </w:p>
          <w:p w14:paraId="2A395B7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3.有一年年检结论为不合格。(0分）</w:t>
            </w:r>
          </w:p>
        </w:tc>
        <w:tc>
          <w:tcPr>
            <w:tcW w:w="640" w:type="dxa"/>
            <w:tcMar>
              <w:top w:w="45" w:type="dxa"/>
              <w:left w:w="60" w:type="dxa"/>
              <w:bottom w:w="45" w:type="dxa"/>
              <w:right w:w="60" w:type="dxa"/>
            </w:tcMar>
            <w:vAlign w:val="center"/>
          </w:tcPr>
          <w:p w14:paraId="1868DF4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7BDC75D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5E1811B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5C71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2608577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30566BE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3954155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重大事项报告</w:t>
            </w:r>
          </w:p>
        </w:tc>
        <w:tc>
          <w:tcPr>
            <w:tcW w:w="560" w:type="dxa"/>
            <w:tcMar>
              <w:top w:w="45" w:type="dxa"/>
              <w:left w:w="20" w:type="dxa"/>
              <w:bottom w:w="45" w:type="dxa"/>
              <w:right w:w="20" w:type="dxa"/>
            </w:tcMar>
            <w:vAlign w:val="center"/>
          </w:tcPr>
          <w:p w14:paraId="0FC4F6F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368" w:type="dxa"/>
            <w:tcMar>
              <w:top w:w="45" w:type="dxa"/>
              <w:left w:w="60" w:type="dxa"/>
              <w:bottom w:w="45" w:type="dxa"/>
              <w:right w:w="60" w:type="dxa"/>
            </w:tcMar>
            <w:vAlign w:val="center"/>
          </w:tcPr>
          <w:p w14:paraId="1A07696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1.建立重大事项报告制度；(0.2分）</w:t>
            </w:r>
          </w:p>
          <w:p w14:paraId="0DFB0B3B">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2.发生重大事项时按规定及时向登记管理机关、业务主管单位和行业管理部门报告。(0.3分）</w:t>
            </w:r>
          </w:p>
          <w:p w14:paraId="7BF9447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重大事项主要包含章程修改、换届及负责人任免、举办重大活动、大额资金（50万以上）使用与资产处置、对外合作和涉外往来、接受境外资金捐赠，以及出现行政处罚、法律诉讼、重大舆情、安全隐患等各类突发风险事件。</w:t>
            </w:r>
          </w:p>
        </w:tc>
        <w:tc>
          <w:tcPr>
            <w:tcW w:w="640" w:type="dxa"/>
            <w:tcMar>
              <w:top w:w="45" w:type="dxa"/>
              <w:left w:w="60" w:type="dxa"/>
              <w:bottom w:w="45" w:type="dxa"/>
              <w:right w:w="60" w:type="dxa"/>
            </w:tcMar>
            <w:vAlign w:val="center"/>
          </w:tcPr>
          <w:p w14:paraId="347F109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4B5096C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43FC79D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0D6E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74876FB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2B202D6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07A7D2A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涉外活动管理</w:t>
            </w:r>
          </w:p>
        </w:tc>
        <w:tc>
          <w:tcPr>
            <w:tcW w:w="560" w:type="dxa"/>
            <w:tcMar>
              <w:top w:w="45" w:type="dxa"/>
              <w:left w:w="20" w:type="dxa"/>
              <w:bottom w:w="45" w:type="dxa"/>
              <w:right w:w="20" w:type="dxa"/>
            </w:tcMar>
            <w:vAlign w:val="center"/>
          </w:tcPr>
          <w:p w14:paraId="2A38CDF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368" w:type="dxa"/>
            <w:tcMar>
              <w:top w:w="45" w:type="dxa"/>
              <w:left w:w="60" w:type="dxa"/>
              <w:bottom w:w="45" w:type="dxa"/>
              <w:right w:w="60" w:type="dxa"/>
            </w:tcMar>
            <w:vAlign w:val="center"/>
          </w:tcPr>
          <w:p w14:paraId="3E28051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1.开展涉外活动前按规定办理审批备案手续；(0.3分）</w:t>
            </w:r>
          </w:p>
          <w:p w14:paraId="7270AA0B">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2.涉外活动过程中遵守国家有关法律法规，活动结束后及时报送总结。(0.2分）</w:t>
            </w:r>
          </w:p>
          <w:p w14:paraId="5C5BD18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注：无涉外活动，此项不扣分。</w:t>
            </w:r>
          </w:p>
        </w:tc>
        <w:tc>
          <w:tcPr>
            <w:tcW w:w="640" w:type="dxa"/>
            <w:tcMar>
              <w:top w:w="45" w:type="dxa"/>
              <w:left w:w="60" w:type="dxa"/>
              <w:bottom w:w="45" w:type="dxa"/>
              <w:right w:w="60" w:type="dxa"/>
            </w:tcMar>
            <w:vAlign w:val="center"/>
          </w:tcPr>
          <w:p w14:paraId="663C58B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0EC314F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26CC8AF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2278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7555B3E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0CE9A0F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777D4D1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信用管理</w:t>
            </w:r>
          </w:p>
        </w:tc>
        <w:tc>
          <w:tcPr>
            <w:tcW w:w="560" w:type="dxa"/>
            <w:tcMar>
              <w:top w:w="45" w:type="dxa"/>
              <w:left w:w="20" w:type="dxa"/>
              <w:bottom w:w="45" w:type="dxa"/>
              <w:right w:w="20" w:type="dxa"/>
            </w:tcMar>
            <w:vAlign w:val="center"/>
          </w:tcPr>
          <w:p w14:paraId="77249F2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7D74D2F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1.在信用信息管理平台无不良信用记录；(0.6分）</w:t>
            </w:r>
          </w:p>
          <w:p w14:paraId="1B3345E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2.公开信用信息情况。(0.4分）</w:t>
            </w:r>
          </w:p>
        </w:tc>
        <w:tc>
          <w:tcPr>
            <w:tcW w:w="640" w:type="dxa"/>
            <w:tcMar>
              <w:top w:w="45" w:type="dxa"/>
              <w:left w:w="60" w:type="dxa"/>
              <w:bottom w:w="45" w:type="dxa"/>
              <w:right w:w="60" w:type="dxa"/>
            </w:tcMar>
            <w:vAlign w:val="center"/>
          </w:tcPr>
          <w:p w14:paraId="45F94A3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5AFB202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5E4AF15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4C22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restart"/>
            <w:tcMar>
              <w:top w:w="45" w:type="dxa"/>
              <w:left w:w="60" w:type="dxa"/>
              <w:bottom w:w="45" w:type="dxa"/>
              <w:right w:w="60" w:type="dxa"/>
            </w:tcMar>
            <w:vAlign w:val="center"/>
          </w:tcPr>
          <w:p w14:paraId="3D77010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内部治理（35分）</w:t>
            </w:r>
          </w:p>
        </w:tc>
        <w:tc>
          <w:tcPr>
            <w:tcW w:w="1010" w:type="dxa"/>
            <w:vMerge w:val="restart"/>
            <w:tcMar>
              <w:top w:w="45" w:type="dxa"/>
              <w:left w:w="60" w:type="dxa"/>
              <w:bottom w:w="45" w:type="dxa"/>
              <w:right w:w="60" w:type="dxa"/>
            </w:tcMar>
            <w:vAlign w:val="center"/>
          </w:tcPr>
          <w:p w14:paraId="579AF33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组织机构</w:t>
            </w:r>
          </w:p>
        </w:tc>
        <w:tc>
          <w:tcPr>
            <w:tcW w:w="1456" w:type="dxa"/>
            <w:tcMar>
              <w:top w:w="45" w:type="dxa"/>
              <w:left w:w="60" w:type="dxa"/>
              <w:bottom w:w="45" w:type="dxa"/>
              <w:right w:w="60" w:type="dxa"/>
            </w:tcMar>
            <w:vAlign w:val="center"/>
          </w:tcPr>
          <w:p w14:paraId="119BD3E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届期发展规划制定</w:t>
            </w:r>
          </w:p>
        </w:tc>
        <w:tc>
          <w:tcPr>
            <w:tcW w:w="560" w:type="dxa"/>
            <w:tcMar>
              <w:top w:w="45" w:type="dxa"/>
              <w:left w:w="20" w:type="dxa"/>
              <w:bottom w:w="45" w:type="dxa"/>
              <w:right w:w="20" w:type="dxa"/>
            </w:tcMar>
            <w:vAlign w:val="center"/>
          </w:tcPr>
          <w:p w14:paraId="3D72A55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368" w:type="dxa"/>
            <w:tcMar>
              <w:top w:w="45" w:type="dxa"/>
              <w:left w:w="60" w:type="dxa"/>
              <w:bottom w:w="45" w:type="dxa"/>
              <w:right w:w="60" w:type="dxa"/>
            </w:tcMar>
            <w:vAlign w:val="center"/>
          </w:tcPr>
          <w:p w14:paraId="75CAAA07">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制定届期发展规划，并经会员（代表）大会通过；(0.5分)</w:t>
            </w:r>
          </w:p>
          <w:p w14:paraId="4B2D8DFC">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□有制定届期发展规划，但未经会员（代表）大会通过；（0.3分）□未制定届期发展规划，且未经会员（代表）大会通过</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不得分。</w:t>
            </w:r>
          </w:p>
        </w:tc>
        <w:tc>
          <w:tcPr>
            <w:tcW w:w="640" w:type="dxa"/>
            <w:tcMar>
              <w:top w:w="45" w:type="dxa"/>
              <w:left w:w="60" w:type="dxa"/>
              <w:bottom w:w="45" w:type="dxa"/>
              <w:right w:w="60" w:type="dxa"/>
            </w:tcMar>
            <w:vAlign w:val="center"/>
          </w:tcPr>
          <w:p w14:paraId="3D9D173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194D0E1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restart"/>
            <w:tcMar>
              <w:top w:w="45" w:type="dxa"/>
              <w:left w:w="60" w:type="dxa"/>
              <w:bottom w:w="45" w:type="dxa"/>
              <w:right w:w="60" w:type="dxa"/>
            </w:tcMar>
            <w:vAlign w:val="center"/>
          </w:tcPr>
          <w:p w14:paraId="1BBCAB64">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1.届期内中长期发展规划（含学术发展规划）；</w:t>
            </w:r>
          </w:p>
          <w:p w14:paraId="5BFBDE45">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2.近 2 年会员（代表）大会全部会议纪要和决议（含会议方案、会员代表产生办法、会议签到、表决票等相关佐证材料）；</w:t>
            </w:r>
          </w:p>
          <w:p w14:paraId="53B3AE26">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3.近 2 年理事会、常务理事会（若有）全部会议纪要和决议（含会议签到、表决票等相关佐证材料）；</w:t>
            </w:r>
          </w:p>
          <w:p w14:paraId="343737DD">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4.监事会设立、履职相关材料，近 2 年监事会相关会议材料；</w:t>
            </w:r>
          </w:p>
          <w:p w14:paraId="0BD190B6">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5.分支（代表）机构设立、变更、注销及管理相关材料（若有）；</w:t>
            </w:r>
          </w:p>
          <w:p w14:paraId="5077EA17">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6.社团负责人（会长/理事长、副会长/副理事长、秘书长）身份证复印件、工作经历、任职情况、产生程序等相关材料；</w:t>
            </w:r>
          </w:p>
          <w:p w14:paraId="043DB1ED">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7.党政领导干部（含退休）在社团兼职的审批手续、无违规取酬证明；</w:t>
            </w:r>
          </w:p>
          <w:p w14:paraId="62D3E24F">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8.秘书长专职任职、考核及履职相关材料；</w:t>
            </w:r>
          </w:p>
          <w:p w14:paraId="0795DF98">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9.工作人员花名册：含全体工作人员姓名、职务、任职时间、是否专职、联系方式等完整信息；</w:t>
            </w:r>
          </w:p>
          <w:p w14:paraId="20F32FB8">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10.专职工作人员劳动用工及薪酬材料：含近 2 年每年 12 月份工资表、五险缴费凭证复印件、全体工作人员劳动合同（劳务合同）；</w:t>
            </w:r>
          </w:p>
          <w:p w14:paraId="5A9D5D5A">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11.工作人员培训、继续教育相关材料；</w:t>
            </w:r>
          </w:p>
          <w:p w14:paraId="196B171E">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12.各项管理制度材料；</w:t>
            </w:r>
          </w:p>
          <w:p w14:paraId="4E403205">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13.档案、印章、证书管理相关材料及制度落实情况；</w:t>
            </w:r>
          </w:p>
          <w:p w14:paraId="48B9D63B">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14.财务资料、会计账簿、记账凭证等，执行《民间非营利组织会计制度》的相关佐证材料；</w:t>
            </w:r>
          </w:p>
          <w:p w14:paraId="2F779C22">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15.会计电算化核算系统使用证明；</w:t>
            </w:r>
          </w:p>
          <w:p w14:paraId="307F03E4">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16.财务人员基本情况（姓名、职务、资格证书、职称、是否为本社团专职会计）、资格证书复印件、近 2 年财务人员参加培训（继续教育）的相关证明材料；</w:t>
            </w:r>
          </w:p>
          <w:p w14:paraId="34BF61FE">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17.货币资金管理、实物资产管理落实相关材料；</w:t>
            </w:r>
          </w:p>
          <w:p w14:paraId="6C3C498A">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18.收入管理、会费管理、票据管理相关材料，会费标准经会员（代表）大会审议通过及备案相关材料；</w:t>
            </w:r>
          </w:p>
          <w:p w14:paraId="727597DB">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19.支出管理、大额支出审批相关材料；</w:t>
            </w:r>
          </w:p>
          <w:p w14:paraId="09031459">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20.投资管理制度及投资管理合规相关材料（若有）；</w:t>
            </w:r>
          </w:p>
          <w:p w14:paraId="4503B8CB">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21.分支机构财务管理制度及管理合规相关材料（若有）；</w:t>
            </w:r>
          </w:p>
          <w:p w14:paraId="341C755B">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22.税收和票据管理相关材料，依法纳税、票据使用规范相关佐证；</w:t>
            </w:r>
          </w:p>
          <w:p w14:paraId="327D32DC">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23.财务公开、财务监督相关材料；</w:t>
            </w:r>
          </w:p>
          <w:p w14:paraId="0F0D973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24.年度财务会计报表、财务审计报告。</w:t>
            </w:r>
          </w:p>
        </w:tc>
      </w:tr>
      <w:tr w14:paraId="7FE88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4A2E21D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162A35F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282036B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会员（代表）大会</w:t>
            </w:r>
          </w:p>
        </w:tc>
        <w:tc>
          <w:tcPr>
            <w:tcW w:w="560" w:type="dxa"/>
            <w:tcMar>
              <w:top w:w="45" w:type="dxa"/>
              <w:left w:w="20" w:type="dxa"/>
              <w:bottom w:w="45" w:type="dxa"/>
              <w:right w:w="20" w:type="dxa"/>
            </w:tcMar>
            <w:vAlign w:val="center"/>
          </w:tcPr>
          <w:p w14:paraId="7175786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37DE9A9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1.制定会议方案及会员代表产生办法；(0.3分）</w:t>
            </w:r>
          </w:p>
          <w:p w14:paraId="514C4BD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2.按章程规定召开会员（代表）大会，出席人数达到法定比例；(0.4分）</w:t>
            </w:r>
          </w:p>
          <w:p w14:paraId="3F59AAE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3.会员（代表）大会表决事项及表决形式合规。(0.3分）</w:t>
            </w:r>
          </w:p>
        </w:tc>
        <w:tc>
          <w:tcPr>
            <w:tcW w:w="640" w:type="dxa"/>
            <w:tcMar>
              <w:top w:w="45" w:type="dxa"/>
              <w:left w:w="60" w:type="dxa"/>
              <w:bottom w:w="45" w:type="dxa"/>
              <w:right w:w="60" w:type="dxa"/>
            </w:tcMar>
            <w:vAlign w:val="center"/>
          </w:tcPr>
          <w:p w14:paraId="1798593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48A8B7C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37BC2FC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52C0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6B86910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155567A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3AA589C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理事会（常务理事会）</w:t>
            </w:r>
          </w:p>
        </w:tc>
        <w:tc>
          <w:tcPr>
            <w:tcW w:w="560" w:type="dxa"/>
            <w:tcMar>
              <w:top w:w="45" w:type="dxa"/>
              <w:left w:w="20" w:type="dxa"/>
              <w:bottom w:w="45" w:type="dxa"/>
              <w:right w:w="20" w:type="dxa"/>
            </w:tcMar>
            <w:vAlign w:val="center"/>
          </w:tcPr>
          <w:p w14:paraId="228A063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368" w:type="dxa"/>
            <w:tcMar>
              <w:top w:w="45" w:type="dxa"/>
              <w:left w:w="60" w:type="dxa"/>
              <w:bottom w:w="45" w:type="dxa"/>
              <w:right w:w="60" w:type="dxa"/>
            </w:tcMar>
            <w:vAlign w:val="center"/>
          </w:tcPr>
          <w:p w14:paraId="6D0815E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1.按期换届；(0.5分）</w:t>
            </w:r>
          </w:p>
          <w:p w14:paraId="028779CC">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理事产生及理事会召开符合规范；(0.3分）</w:t>
            </w:r>
          </w:p>
          <w:p w14:paraId="636744B0">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□理事产生符合章程规定和民主程序</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p>
          <w:p w14:paraId="108C1B1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□理事会召开程序和次数符合章程规定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（0.1分）</w:t>
            </w:r>
          </w:p>
          <w:p w14:paraId="73379B74">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常务理事产生及常务理事会召开符合规范；(0.3分）</w:t>
            </w:r>
          </w:p>
          <w:p w14:paraId="57913958">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常务理事产生符合章程规定和民主程序</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p>
          <w:p w14:paraId="5E214B18">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□常务理事会召开程序和次数符合章程规定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（0.1分）</w:t>
            </w:r>
          </w:p>
          <w:p w14:paraId="65F1ADD9">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会议材料完备。(0.4分）</w:t>
            </w:r>
          </w:p>
          <w:p w14:paraId="2B4DE47A">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注：①会议材料有载明时间、地点、参会人员、会议内容、会议结果等内容；②会议材料必须有参会人签字（或会议负责人签字）和盖公章。</w:t>
            </w:r>
          </w:p>
          <w:p w14:paraId="7CA9AFC1">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注：无常务理事，第“3”项不扣分。</w:t>
            </w:r>
          </w:p>
        </w:tc>
        <w:tc>
          <w:tcPr>
            <w:tcW w:w="640" w:type="dxa"/>
            <w:tcMar>
              <w:top w:w="45" w:type="dxa"/>
              <w:left w:w="60" w:type="dxa"/>
              <w:bottom w:w="45" w:type="dxa"/>
              <w:right w:w="60" w:type="dxa"/>
            </w:tcMar>
            <w:vAlign w:val="center"/>
          </w:tcPr>
          <w:p w14:paraId="68BD7C8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4411F45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574DBFB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0653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3CD9F46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616814B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1220518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w:t>
            </w:r>
          </w:p>
        </w:tc>
        <w:tc>
          <w:tcPr>
            <w:tcW w:w="560" w:type="dxa"/>
            <w:tcMar>
              <w:top w:w="45" w:type="dxa"/>
              <w:left w:w="20" w:type="dxa"/>
              <w:bottom w:w="45" w:type="dxa"/>
              <w:right w:w="20" w:type="dxa"/>
            </w:tcMar>
            <w:vAlign w:val="center"/>
          </w:tcPr>
          <w:p w14:paraId="7CECFB6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368" w:type="dxa"/>
            <w:tcMar>
              <w:top w:w="45" w:type="dxa"/>
              <w:left w:w="60" w:type="dxa"/>
              <w:bottom w:w="45" w:type="dxa"/>
              <w:right w:w="60" w:type="dxa"/>
            </w:tcMar>
            <w:vAlign w:val="center"/>
          </w:tcPr>
          <w:p w14:paraId="45B1B4BB">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按规定设立监事会，人数符合要求；(0.2分）</w:t>
            </w:r>
          </w:p>
          <w:p w14:paraId="35A2142F">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□监事会按民主程序产生，符合章程规定；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BDCC418">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□监事会监事符合人数要求；</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70676F0">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hint="default"/>
                <w:color w:val="000000" w:themeColor="text1"/>
                <w:lang w:val="en-US"/>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注：财务人员、理事或理事亲属无交叉任职；监事不得在本机构领取报酬。只要有一项不按规定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，得0分；</w:t>
            </w:r>
          </w:p>
          <w:p w14:paraId="61B19B85">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监事会依法履行监督职责。(0.4分）</w:t>
            </w:r>
          </w:p>
          <w:p w14:paraId="67A8DE0C">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注：监事(长)有列席重要会议；监事(长)对重大事项有按规定审核、履行职能。</w:t>
            </w:r>
          </w:p>
        </w:tc>
        <w:tc>
          <w:tcPr>
            <w:tcW w:w="640" w:type="dxa"/>
            <w:tcMar>
              <w:top w:w="45" w:type="dxa"/>
              <w:left w:w="60" w:type="dxa"/>
              <w:bottom w:w="45" w:type="dxa"/>
              <w:right w:w="60" w:type="dxa"/>
            </w:tcMar>
            <w:vAlign w:val="center"/>
          </w:tcPr>
          <w:p w14:paraId="646E577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2A52B28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743F661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C5DF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9" w:type="dxa"/>
            <w:vMerge w:val="continue"/>
            <w:tcMar>
              <w:top w:w="45" w:type="dxa"/>
              <w:left w:w="60" w:type="dxa"/>
              <w:bottom w:w="45" w:type="dxa"/>
              <w:right w:w="60" w:type="dxa"/>
            </w:tcMar>
            <w:vAlign w:val="center"/>
          </w:tcPr>
          <w:p w14:paraId="7B4517A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4D4E96E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2714E80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分支（代表）机构</w:t>
            </w:r>
          </w:p>
        </w:tc>
        <w:tc>
          <w:tcPr>
            <w:tcW w:w="560" w:type="dxa"/>
            <w:tcMar>
              <w:top w:w="45" w:type="dxa"/>
              <w:left w:w="20" w:type="dxa"/>
              <w:bottom w:w="45" w:type="dxa"/>
              <w:right w:w="20" w:type="dxa"/>
            </w:tcMar>
            <w:vAlign w:val="center"/>
          </w:tcPr>
          <w:p w14:paraId="5898A22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368" w:type="dxa"/>
            <w:tcMar>
              <w:top w:w="45" w:type="dxa"/>
              <w:left w:w="60" w:type="dxa"/>
              <w:bottom w:w="45" w:type="dxa"/>
              <w:right w:w="60" w:type="dxa"/>
            </w:tcMar>
            <w:vAlign w:val="center"/>
          </w:tcPr>
          <w:p w14:paraId="71D4248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1.设立符合规定；(0.1分）</w:t>
            </w:r>
          </w:p>
          <w:p w14:paraId="179C86F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2.名称使用符合规定；(0.1分）</w:t>
            </w:r>
          </w:p>
          <w:p w14:paraId="7CD131FC">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3.制定管理办法，管理及工作开展符合规范。(0.3分）</w:t>
            </w:r>
          </w:p>
          <w:p w14:paraId="509BBD3D">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□有分支（代表）机构管理办法和分支（代表）机构工作计划、总结；</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1CC1119">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□分支（代表）机构在授权范围内开展活动，并冠以主机构名称；</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54F89F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注：未设立分支机构，此项不扣分。</w:t>
            </w:r>
          </w:p>
        </w:tc>
        <w:tc>
          <w:tcPr>
            <w:tcW w:w="640" w:type="dxa"/>
            <w:tcMar>
              <w:top w:w="45" w:type="dxa"/>
              <w:left w:w="60" w:type="dxa"/>
              <w:bottom w:w="45" w:type="dxa"/>
              <w:right w:w="60" w:type="dxa"/>
            </w:tcMar>
            <w:vAlign w:val="center"/>
          </w:tcPr>
          <w:p w14:paraId="02A4C0C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21901E9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023A7FD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802D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16A5C5D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restart"/>
            <w:tcMar>
              <w:top w:w="45" w:type="dxa"/>
              <w:left w:w="60" w:type="dxa"/>
              <w:bottom w:w="45" w:type="dxa"/>
              <w:right w:w="60" w:type="dxa"/>
            </w:tcMar>
            <w:vAlign w:val="center"/>
          </w:tcPr>
          <w:p w14:paraId="36C50E0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人力资源</w:t>
            </w:r>
          </w:p>
        </w:tc>
        <w:tc>
          <w:tcPr>
            <w:tcW w:w="1456" w:type="dxa"/>
            <w:vMerge w:val="restart"/>
            <w:tcMar>
              <w:top w:w="45" w:type="dxa"/>
              <w:left w:w="60" w:type="dxa"/>
              <w:bottom w:w="45" w:type="dxa"/>
              <w:right w:w="60" w:type="dxa"/>
            </w:tcMar>
            <w:vAlign w:val="center"/>
          </w:tcPr>
          <w:p w14:paraId="22D8D88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负责人任职管理</w:t>
            </w:r>
          </w:p>
        </w:tc>
        <w:tc>
          <w:tcPr>
            <w:tcW w:w="560" w:type="dxa"/>
            <w:tcMar>
              <w:top w:w="45" w:type="dxa"/>
              <w:left w:w="20" w:type="dxa"/>
              <w:bottom w:w="45" w:type="dxa"/>
              <w:right w:w="20" w:type="dxa"/>
            </w:tcMar>
            <w:vAlign w:val="center"/>
          </w:tcPr>
          <w:p w14:paraId="1338540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03FC7E04">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负责人任职资格、任期符合规定；(0.6分）</w:t>
            </w:r>
          </w:p>
          <w:p w14:paraId="3A63D23E">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□负责人任期符合相关规定；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76BEF5E">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□负责人任职资格符合相关规定；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9E7CEA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2.党政领导干部（含退休）兼职审批手续齐全，无违规取酬。(0.4分）</w:t>
            </w:r>
          </w:p>
        </w:tc>
        <w:tc>
          <w:tcPr>
            <w:tcW w:w="640" w:type="dxa"/>
            <w:tcMar>
              <w:top w:w="45" w:type="dxa"/>
              <w:left w:w="60" w:type="dxa"/>
              <w:bottom w:w="45" w:type="dxa"/>
              <w:right w:w="60" w:type="dxa"/>
            </w:tcMar>
            <w:vAlign w:val="center"/>
          </w:tcPr>
          <w:p w14:paraId="6357DB9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01FB0CF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0888DF2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12D6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5F2E6FB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1C8051E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627A9B7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605E375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6D52569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秘书长专职。</w:t>
            </w:r>
          </w:p>
        </w:tc>
        <w:tc>
          <w:tcPr>
            <w:tcW w:w="640" w:type="dxa"/>
            <w:tcMar>
              <w:top w:w="45" w:type="dxa"/>
              <w:left w:w="60" w:type="dxa"/>
              <w:bottom w:w="45" w:type="dxa"/>
              <w:right w:w="60" w:type="dxa"/>
            </w:tcMar>
            <w:vAlign w:val="center"/>
          </w:tcPr>
          <w:p w14:paraId="27466B0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360655C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054BCA1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7923E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234B215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75ABEBB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restart"/>
            <w:tcMar>
              <w:top w:w="45" w:type="dxa"/>
              <w:left w:w="60" w:type="dxa"/>
              <w:bottom w:w="45" w:type="dxa"/>
              <w:right w:w="60" w:type="dxa"/>
            </w:tcMar>
            <w:vAlign w:val="center"/>
          </w:tcPr>
          <w:p w14:paraId="053F82E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专职人员管理</w:t>
            </w:r>
          </w:p>
        </w:tc>
        <w:tc>
          <w:tcPr>
            <w:tcW w:w="560" w:type="dxa"/>
            <w:tcMar>
              <w:top w:w="45" w:type="dxa"/>
              <w:left w:w="20" w:type="dxa"/>
              <w:bottom w:w="45" w:type="dxa"/>
              <w:right w:w="20" w:type="dxa"/>
            </w:tcMar>
            <w:vAlign w:val="center"/>
          </w:tcPr>
          <w:p w14:paraId="67FBE59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2.8</w:t>
            </w:r>
          </w:p>
        </w:tc>
        <w:tc>
          <w:tcPr>
            <w:tcW w:w="6368" w:type="dxa"/>
            <w:tcMar>
              <w:top w:w="45" w:type="dxa"/>
              <w:left w:w="60" w:type="dxa"/>
              <w:bottom w:w="45" w:type="dxa"/>
              <w:right w:w="60" w:type="dxa"/>
            </w:tcMar>
            <w:vAlign w:val="center"/>
          </w:tcPr>
          <w:p w14:paraId="395ACCE0">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建立人事及薪酬管理制度；(0.4分）</w:t>
            </w:r>
          </w:p>
          <w:p w14:paraId="4B4C430E">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□建立人事管理制度</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6868D09">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□建立薪酬管理制度</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FCDD8E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2.根据工作需要配备足够的专职工作人员，人员结构合理，每1名专职工作人员得1分；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（2分）</w:t>
            </w:r>
          </w:p>
          <w:p w14:paraId="2F34B925">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3.专职工作人员聘用手续规范，依规签订劳动合同（或劳务合同）、缴纳社会保险。（0.4分）</w:t>
            </w:r>
          </w:p>
          <w:p w14:paraId="0E018E3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注：聘任的秘书长不在此项得分。</w:t>
            </w:r>
          </w:p>
        </w:tc>
        <w:tc>
          <w:tcPr>
            <w:tcW w:w="640" w:type="dxa"/>
            <w:tcMar>
              <w:top w:w="45" w:type="dxa"/>
              <w:left w:w="60" w:type="dxa"/>
              <w:bottom w:w="45" w:type="dxa"/>
              <w:right w:w="60" w:type="dxa"/>
            </w:tcMar>
            <w:vAlign w:val="center"/>
          </w:tcPr>
          <w:p w14:paraId="10C798B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7ECAA4D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3AE8BE6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6250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1F487DC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28E8BC8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6846242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169DD43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0.8</w:t>
            </w:r>
          </w:p>
        </w:tc>
        <w:tc>
          <w:tcPr>
            <w:tcW w:w="6368" w:type="dxa"/>
            <w:tcMar>
              <w:top w:w="45" w:type="dxa"/>
              <w:left w:w="60" w:type="dxa"/>
              <w:bottom w:w="45" w:type="dxa"/>
              <w:right w:w="60" w:type="dxa"/>
            </w:tcMar>
            <w:vAlign w:val="center"/>
          </w:tcPr>
          <w:p w14:paraId="7EFDC54A">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每年组织工作人员参加业务知识、技能等专业化能力培训，或参加政策法规培训不少于2次。（不含财务人员培训）</w:t>
            </w:r>
          </w:p>
          <w:p w14:paraId="727F34C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注：根据评估2年的时间设定。</w:t>
            </w:r>
          </w:p>
        </w:tc>
        <w:tc>
          <w:tcPr>
            <w:tcW w:w="640" w:type="dxa"/>
            <w:tcMar>
              <w:top w:w="45" w:type="dxa"/>
              <w:left w:w="60" w:type="dxa"/>
              <w:bottom w:w="45" w:type="dxa"/>
              <w:right w:w="60" w:type="dxa"/>
            </w:tcMar>
            <w:vAlign w:val="center"/>
          </w:tcPr>
          <w:p w14:paraId="462CFEE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28A9969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6E0B787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B9A9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1A7ABF4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restart"/>
            <w:tcMar>
              <w:top w:w="45" w:type="dxa"/>
              <w:left w:w="60" w:type="dxa"/>
              <w:bottom w:w="45" w:type="dxa"/>
              <w:right w:w="60" w:type="dxa"/>
            </w:tcMar>
            <w:vAlign w:val="center"/>
          </w:tcPr>
          <w:p w14:paraId="2B8ACD0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档案、证章管理</w:t>
            </w:r>
          </w:p>
        </w:tc>
        <w:tc>
          <w:tcPr>
            <w:tcW w:w="1456" w:type="dxa"/>
            <w:tcMar>
              <w:top w:w="45" w:type="dxa"/>
              <w:left w:w="60" w:type="dxa"/>
              <w:bottom w:w="45" w:type="dxa"/>
              <w:right w:w="60" w:type="dxa"/>
            </w:tcMar>
            <w:vAlign w:val="center"/>
          </w:tcPr>
          <w:p w14:paraId="03716C4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档案管理</w:t>
            </w:r>
          </w:p>
        </w:tc>
        <w:tc>
          <w:tcPr>
            <w:tcW w:w="560" w:type="dxa"/>
            <w:tcMar>
              <w:top w:w="45" w:type="dxa"/>
              <w:left w:w="20" w:type="dxa"/>
              <w:bottom w:w="45" w:type="dxa"/>
              <w:right w:w="20" w:type="dxa"/>
            </w:tcMar>
            <w:vAlign w:val="center"/>
          </w:tcPr>
          <w:p w14:paraId="7AEC04D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368" w:type="dxa"/>
            <w:tcMar>
              <w:top w:w="45" w:type="dxa"/>
              <w:left w:w="60" w:type="dxa"/>
              <w:bottom w:w="45" w:type="dxa"/>
              <w:right w:w="60" w:type="dxa"/>
            </w:tcMar>
            <w:vAlign w:val="center"/>
          </w:tcPr>
          <w:p w14:paraId="3DEAC7D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1.建立档案管理制度；(0.5分）</w:t>
            </w:r>
          </w:p>
          <w:p w14:paraId="4F4AE11B">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2.档案管理规范。（1分）</w:t>
            </w:r>
          </w:p>
          <w:p w14:paraId="493A584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注：档案管理包含会计凭证、账本、报表及其他会计凭证，业务活动材料，其他需要保管的材料、证件等。</w:t>
            </w:r>
          </w:p>
        </w:tc>
        <w:tc>
          <w:tcPr>
            <w:tcW w:w="640" w:type="dxa"/>
            <w:tcMar>
              <w:top w:w="45" w:type="dxa"/>
              <w:left w:w="60" w:type="dxa"/>
              <w:bottom w:w="45" w:type="dxa"/>
              <w:right w:w="60" w:type="dxa"/>
            </w:tcMar>
            <w:vAlign w:val="center"/>
          </w:tcPr>
          <w:p w14:paraId="42CB1CF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5C43A69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10AE6B7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284E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979" w:type="dxa"/>
            <w:vMerge w:val="continue"/>
            <w:tcMar>
              <w:top w:w="45" w:type="dxa"/>
              <w:left w:w="60" w:type="dxa"/>
              <w:bottom w:w="45" w:type="dxa"/>
              <w:right w:w="60" w:type="dxa"/>
            </w:tcMar>
            <w:vAlign w:val="center"/>
          </w:tcPr>
          <w:p w14:paraId="53B3436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2791FB3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1CBCA7C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印章管理</w:t>
            </w:r>
          </w:p>
        </w:tc>
        <w:tc>
          <w:tcPr>
            <w:tcW w:w="560" w:type="dxa"/>
            <w:tcMar>
              <w:top w:w="45" w:type="dxa"/>
              <w:left w:w="20" w:type="dxa"/>
              <w:bottom w:w="45" w:type="dxa"/>
              <w:right w:w="20" w:type="dxa"/>
            </w:tcMar>
            <w:vAlign w:val="center"/>
          </w:tcPr>
          <w:p w14:paraId="2F11929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0.4</w:t>
            </w:r>
          </w:p>
        </w:tc>
        <w:tc>
          <w:tcPr>
            <w:tcW w:w="6368" w:type="dxa"/>
            <w:tcMar>
              <w:top w:w="45" w:type="dxa"/>
              <w:left w:w="60" w:type="dxa"/>
              <w:bottom w:w="45" w:type="dxa"/>
              <w:right w:w="60" w:type="dxa"/>
            </w:tcMar>
            <w:vAlign w:val="center"/>
          </w:tcPr>
          <w:p w14:paraId="20015109">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建立印章管理制度；(0.2分）</w:t>
            </w:r>
          </w:p>
          <w:p w14:paraId="725E49A1">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注:印章包含公章、合同章、财务章、党支部章等（如有）。</w:t>
            </w:r>
          </w:p>
          <w:p w14:paraId="51BF3CA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2.印章使用管理规范。(0.2分）</w:t>
            </w:r>
          </w:p>
        </w:tc>
        <w:tc>
          <w:tcPr>
            <w:tcW w:w="640" w:type="dxa"/>
            <w:tcMar>
              <w:top w:w="45" w:type="dxa"/>
              <w:left w:w="60" w:type="dxa"/>
              <w:bottom w:w="45" w:type="dxa"/>
              <w:right w:w="60" w:type="dxa"/>
            </w:tcMar>
            <w:vAlign w:val="center"/>
          </w:tcPr>
          <w:p w14:paraId="3956F65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58CA6E9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60BFAA5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13FD4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6F22F15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71A1A3F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75E2B59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证书管理</w:t>
            </w:r>
          </w:p>
        </w:tc>
        <w:tc>
          <w:tcPr>
            <w:tcW w:w="560" w:type="dxa"/>
            <w:tcMar>
              <w:top w:w="45" w:type="dxa"/>
              <w:left w:w="20" w:type="dxa"/>
              <w:bottom w:w="45" w:type="dxa"/>
              <w:right w:w="20" w:type="dxa"/>
            </w:tcMar>
            <w:vAlign w:val="center"/>
          </w:tcPr>
          <w:p w14:paraId="19E39C2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0.4</w:t>
            </w:r>
          </w:p>
        </w:tc>
        <w:tc>
          <w:tcPr>
            <w:tcW w:w="6368" w:type="dxa"/>
            <w:tcMar>
              <w:top w:w="45" w:type="dxa"/>
              <w:left w:w="60" w:type="dxa"/>
              <w:bottom w:w="45" w:type="dxa"/>
              <w:right w:w="60" w:type="dxa"/>
            </w:tcMar>
            <w:vAlign w:val="center"/>
          </w:tcPr>
          <w:p w14:paraId="3FC2F05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1.建立证书管理制度；(0.2分）</w:t>
            </w:r>
          </w:p>
          <w:p w14:paraId="13B326C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2.证书管理规范。(0.2分）</w:t>
            </w:r>
          </w:p>
        </w:tc>
        <w:tc>
          <w:tcPr>
            <w:tcW w:w="640" w:type="dxa"/>
            <w:tcMar>
              <w:top w:w="45" w:type="dxa"/>
              <w:left w:w="60" w:type="dxa"/>
              <w:bottom w:w="45" w:type="dxa"/>
              <w:right w:w="60" w:type="dxa"/>
            </w:tcMar>
            <w:vAlign w:val="center"/>
          </w:tcPr>
          <w:p w14:paraId="1EB0B40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54659CA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7C653D7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E4B4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3DA5CC2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restart"/>
            <w:tcMar>
              <w:top w:w="45" w:type="dxa"/>
              <w:left w:w="60" w:type="dxa"/>
              <w:bottom w:w="45" w:type="dxa"/>
              <w:right w:w="60" w:type="dxa"/>
            </w:tcMar>
            <w:vAlign w:val="center"/>
          </w:tcPr>
          <w:p w14:paraId="2964409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财务资产</w:t>
            </w:r>
          </w:p>
        </w:tc>
        <w:tc>
          <w:tcPr>
            <w:tcW w:w="1456" w:type="dxa"/>
            <w:tcMar>
              <w:top w:w="45" w:type="dxa"/>
              <w:left w:w="60" w:type="dxa"/>
              <w:bottom w:w="45" w:type="dxa"/>
              <w:right w:w="60" w:type="dxa"/>
            </w:tcMar>
            <w:vAlign w:val="center"/>
          </w:tcPr>
          <w:p w14:paraId="4548D33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账务处理</w:t>
            </w:r>
          </w:p>
        </w:tc>
        <w:tc>
          <w:tcPr>
            <w:tcW w:w="560" w:type="dxa"/>
            <w:tcMar>
              <w:top w:w="45" w:type="dxa"/>
              <w:left w:w="20" w:type="dxa"/>
              <w:bottom w:w="45" w:type="dxa"/>
              <w:right w:w="20" w:type="dxa"/>
            </w:tcMar>
            <w:vAlign w:val="center"/>
          </w:tcPr>
          <w:p w14:paraId="586AD7C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8.5</w:t>
            </w:r>
          </w:p>
        </w:tc>
        <w:tc>
          <w:tcPr>
            <w:tcW w:w="6368" w:type="dxa"/>
            <w:tcMar>
              <w:top w:w="45" w:type="dxa"/>
              <w:left w:w="60" w:type="dxa"/>
              <w:bottom w:w="45" w:type="dxa"/>
              <w:right w:w="60" w:type="dxa"/>
            </w:tcMar>
            <w:vAlign w:val="center"/>
          </w:tcPr>
          <w:p w14:paraId="7F66D9A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执行《民间非营利组织会计制度》，出现如下现象，将扣分：</w:t>
            </w:r>
          </w:p>
          <w:p w14:paraId="68AC14F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1.未实施会计独立核算；(1分）</w:t>
            </w:r>
          </w:p>
          <w:p w14:paraId="7F6944F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2.未将独立核算的部门及分支机构的财务报表纳入汇总报表；(1分）</w:t>
            </w:r>
          </w:p>
          <w:p w14:paraId="6C522B1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3.收支在往来科目中核算，余额结转净资产，或收入长期挂账；(1分）</w:t>
            </w:r>
          </w:p>
          <w:p w14:paraId="1DAC524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4.使用不合规票据作为报销凭证；（2分）</w:t>
            </w:r>
          </w:p>
          <w:p w14:paraId="103079A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5.账账、账表不符；（2分）</w:t>
            </w:r>
          </w:p>
          <w:p w14:paraId="11A5808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6.固定资产未按规定计提折旧或计提不准确；(0.5分）</w:t>
            </w:r>
          </w:p>
          <w:p w14:paraId="60D0E1F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7.记账凭证不完整或填制不规范；(0.5分）</w:t>
            </w:r>
          </w:p>
          <w:p w14:paraId="659FCF7F">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8.凭证签字或签章不齐全；(0.5分）</w:t>
            </w:r>
          </w:p>
          <w:p w14:paraId="67C80C4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注：未执行《民间非营利组织会计制度》的本项不得分。上述各项，累计计分和扣分。</w:t>
            </w:r>
          </w:p>
        </w:tc>
        <w:tc>
          <w:tcPr>
            <w:tcW w:w="640" w:type="dxa"/>
            <w:tcMar>
              <w:top w:w="45" w:type="dxa"/>
              <w:left w:w="60" w:type="dxa"/>
              <w:bottom w:w="45" w:type="dxa"/>
              <w:right w:w="60" w:type="dxa"/>
            </w:tcMar>
            <w:vAlign w:val="center"/>
          </w:tcPr>
          <w:p w14:paraId="6D3A406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407F13C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1CC3524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752E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7C9A22D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51F191B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277D9DB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会计电算化</w:t>
            </w:r>
          </w:p>
        </w:tc>
        <w:tc>
          <w:tcPr>
            <w:tcW w:w="560" w:type="dxa"/>
            <w:tcMar>
              <w:top w:w="45" w:type="dxa"/>
              <w:left w:w="20" w:type="dxa"/>
              <w:bottom w:w="45" w:type="dxa"/>
              <w:right w:w="20" w:type="dxa"/>
            </w:tcMar>
            <w:vAlign w:val="center"/>
          </w:tcPr>
          <w:p w14:paraId="5E5BEBF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34E7536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实行会计电算化核算，未执行会计电算化核算不得分。</w:t>
            </w:r>
          </w:p>
        </w:tc>
        <w:tc>
          <w:tcPr>
            <w:tcW w:w="640" w:type="dxa"/>
            <w:tcMar>
              <w:top w:w="45" w:type="dxa"/>
              <w:left w:w="60" w:type="dxa"/>
              <w:bottom w:w="45" w:type="dxa"/>
              <w:right w:w="60" w:type="dxa"/>
            </w:tcMar>
            <w:vAlign w:val="center"/>
          </w:tcPr>
          <w:p w14:paraId="3DF2594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076FE73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46E7F25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5FF39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6D585CB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655FC4F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restart"/>
            <w:tcMar>
              <w:top w:w="45" w:type="dxa"/>
              <w:left w:w="60" w:type="dxa"/>
              <w:bottom w:w="45" w:type="dxa"/>
              <w:right w:w="60" w:type="dxa"/>
            </w:tcMar>
            <w:vAlign w:val="center"/>
          </w:tcPr>
          <w:p w14:paraId="7BED733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w:t>
            </w:r>
          </w:p>
        </w:tc>
        <w:tc>
          <w:tcPr>
            <w:tcW w:w="560" w:type="dxa"/>
            <w:tcMar>
              <w:top w:w="45" w:type="dxa"/>
              <w:left w:w="20" w:type="dxa"/>
              <w:bottom w:w="45" w:type="dxa"/>
              <w:right w:w="20" w:type="dxa"/>
            </w:tcMar>
            <w:vAlign w:val="center"/>
          </w:tcPr>
          <w:p w14:paraId="227CFB8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368" w:type="dxa"/>
            <w:tcMar>
              <w:top w:w="45" w:type="dxa"/>
              <w:left w:w="60" w:type="dxa"/>
              <w:bottom w:w="45" w:type="dxa"/>
              <w:right w:w="60" w:type="dxa"/>
            </w:tcMar>
            <w:vAlign w:val="center"/>
          </w:tcPr>
          <w:p w14:paraId="47BB472B">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财务人员配备合理、岗位职责明确。</w:t>
            </w:r>
          </w:p>
          <w:p w14:paraId="51CA7956">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□有配备2名及以上财务工作人员，会计具备从业资格，负责财务工作；</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1F1D1C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□财务人员岗位设置合理，且岗位职责明确；</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tc>
        <w:tc>
          <w:tcPr>
            <w:tcW w:w="640" w:type="dxa"/>
            <w:tcMar>
              <w:top w:w="45" w:type="dxa"/>
              <w:left w:w="60" w:type="dxa"/>
              <w:bottom w:w="45" w:type="dxa"/>
              <w:right w:w="60" w:type="dxa"/>
            </w:tcMar>
            <w:vAlign w:val="center"/>
          </w:tcPr>
          <w:p w14:paraId="7F946EE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3135624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5F07316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F6D2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423C26C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75B8AA5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3E6F6F1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5C78F05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0.4</w:t>
            </w:r>
          </w:p>
        </w:tc>
        <w:tc>
          <w:tcPr>
            <w:tcW w:w="6368" w:type="dxa"/>
            <w:tcMar>
              <w:top w:w="45" w:type="dxa"/>
              <w:left w:w="60" w:type="dxa"/>
              <w:bottom w:w="45" w:type="dxa"/>
              <w:right w:w="60" w:type="dxa"/>
            </w:tcMar>
            <w:vAlign w:val="center"/>
          </w:tcPr>
          <w:p w14:paraId="3FC34BBD">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财务人员按规定参加财务培训。</w:t>
            </w:r>
          </w:p>
          <w:p w14:paraId="47CCD128">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□评估期内2年按规定参加财务培训；</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0.4分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A6667A2">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□评估期内1年按规定参加财务培训；</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C50B09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□评估期内未按规定参加财务培训不得分。</w:t>
            </w:r>
          </w:p>
        </w:tc>
        <w:tc>
          <w:tcPr>
            <w:tcW w:w="640" w:type="dxa"/>
            <w:tcMar>
              <w:top w:w="45" w:type="dxa"/>
              <w:left w:w="60" w:type="dxa"/>
              <w:bottom w:w="45" w:type="dxa"/>
              <w:right w:w="60" w:type="dxa"/>
            </w:tcMar>
            <w:vAlign w:val="center"/>
          </w:tcPr>
          <w:p w14:paraId="5667902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322E2B0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480F86B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1B26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22F0A08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1F3274B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restart"/>
            <w:tcMar>
              <w:top w:w="45" w:type="dxa"/>
              <w:left w:w="60" w:type="dxa"/>
              <w:bottom w:w="45" w:type="dxa"/>
              <w:right w:w="60" w:type="dxa"/>
            </w:tcMar>
            <w:vAlign w:val="center"/>
          </w:tcPr>
          <w:p w14:paraId="4FE074B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货币资金和实物资产管理</w:t>
            </w:r>
          </w:p>
        </w:tc>
        <w:tc>
          <w:tcPr>
            <w:tcW w:w="560" w:type="dxa"/>
            <w:tcMar>
              <w:top w:w="45" w:type="dxa"/>
              <w:left w:w="20" w:type="dxa"/>
              <w:bottom w:w="45" w:type="dxa"/>
              <w:right w:w="20" w:type="dxa"/>
            </w:tcMar>
            <w:vAlign w:val="center"/>
          </w:tcPr>
          <w:p w14:paraId="7085CBC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60E4442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1.建立货币资金管理制度；(0.2分）</w:t>
            </w:r>
          </w:p>
          <w:p w14:paraId="4268913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2.货币资金使用合规。(0.8分）</w:t>
            </w:r>
          </w:p>
        </w:tc>
        <w:tc>
          <w:tcPr>
            <w:tcW w:w="640" w:type="dxa"/>
            <w:tcMar>
              <w:top w:w="45" w:type="dxa"/>
              <w:left w:w="60" w:type="dxa"/>
              <w:bottom w:w="45" w:type="dxa"/>
              <w:right w:w="60" w:type="dxa"/>
            </w:tcMar>
            <w:vAlign w:val="center"/>
          </w:tcPr>
          <w:p w14:paraId="4984C54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1D6E835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0FAFB04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CD85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3572FD8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1AB7B79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1D49B00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5B4E158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05D0307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1.建立实物资产管理制度；(0.2分）</w:t>
            </w:r>
          </w:p>
          <w:p w14:paraId="63CB9108">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2.实物资产使用管理合规。(0.8分）</w:t>
            </w:r>
          </w:p>
          <w:p w14:paraId="2D43D88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注：实物资产使用管理包含实物资产购进、领用、保管、处置审批手续完善，定期盘点且对出现的盘亏、盘盈、毁损、减值情况及时进行处理；</w:t>
            </w:r>
          </w:p>
        </w:tc>
        <w:tc>
          <w:tcPr>
            <w:tcW w:w="640" w:type="dxa"/>
            <w:tcMar>
              <w:top w:w="45" w:type="dxa"/>
              <w:left w:w="60" w:type="dxa"/>
              <w:bottom w:w="45" w:type="dxa"/>
              <w:right w:w="60" w:type="dxa"/>
            </w:tcMar>
            <w:vAlign w:val="center"/>
          </w:tcPr>
          <w:p w14:paraId="6A95320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5AD5C0A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09BFD39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D4504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64D78BA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38F7D30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0F50791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收入管理</w:t>
            </w:r>
          </w:p>
        </w:tc>
        <w:tc>
          <w:tcPr>
            <w:tcW w:w="560" w:type="dxa"/>
            <w:tcMar>
              <w:top w:w="45" w:type="dxa"/>
              <w:left w:w="20" w:type="dxa"/>
              <w:bottom w:w="45" w:type="dxa"/>
              <w:right w:w="20" w:type="dxa"/>
            </w:tcMar>
            <w:vAlign w:val="center"/>
          </w:tcPr>
          <w:p w14:paraId="7A30FAE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278107C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1.收入来源合法合规，无强制收费、乱收费情况；(0.4分）</w:t>
            </w:r>
          </w:p>
          <w:p w14:paraId="1922478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2.会费标准经会员（代表）大会审议通过，备案齐全；(0.3分）</w:t>
            </w:r>
          </w:p>
          <w:p w14:paraId="7B263E3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3.各项收入及时入账，无账外账、“小金库”。(0.3分）</w:t>
            </w:r>
          </w:p>
        </w:tc>
        <w:tc>
          <w:tcPr>
            <w:tcW w:w="640" w:type="dxa"/>
            <w:tcMar>
              <w:top w:w="45" w:type="dxa"/>
              <w:left w:w="60" w:type="dxa"/>
              <w:bottom w:w="45" w:type="dxa"/>
              <w:right w:w="60" w:type="dxa"/>
            </w:tcMar>
            <w:vAlign w:val="center"/>
          </w:tcPr>
          <w:p w14:paraId="663CBAE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0153867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0045430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8D8B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318F5EE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4EEF43D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03E99F3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支出管理</w:t>
            </w:r>
          </w:p>
        </w:tc>
        <w:tc>
          <w:tcPr>
            <w:tcW w:w="560" w:type="dxa"/>
            <w:tcMar>
              <w:top w:w="45" w:type="dxa"/>
              <w:left w:w="20" w:type="dxa"/>
              <w:bottom w:w="45" w:type="dxa"/>
              <w:right w:w="20" w:type="dxa"/>
            </w:tcMar>
            <w:vAlign w:val="center"/>
          </w:tcPr>
          <w:p w14:paraId="53A6242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368" w:type="dxa"/>
            <w:tcMar>
              <w:top w:w="45" w:type="dxa"/>
              <w:left w:w="60" w:type="dxa"/>
              <w:bottom w:w="45" w:type="dxa"/>
              <w:right w:w="60" w:type="dxa"/>
            </w:tcMar>
            <w:vAlign w:val="center"/>
          </w:tcPr>
          <w:p w14:paraId="68042A4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1.支出符合章程规定的业务范围，无违规支出；(1分）</w:t>
            </w:r>
          </w:p>
          <w:p w14:paraId="6CE6C31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2.大额支出经过集体决策，有完整审批手续；(0.6分）</w:t>
            </w:r>
          </w:p>
          <w:p w14:paraId="34AA540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3.工资福利支出符合规定。(0.4分）</w:t>
            </w:r>
          </w:p>
        </w:tc>
        <w:tc>
          <w:tcPr>
            <w:tcW w:w="640" w:type="dxa"/>
            <w:tcMar>
              <w:top w:w="45" w:type="dxa"/>
              <w:left w:w="60" w:type="dxa"/>
              <w:bottom w:w="45" w:type="dxa"/>
              <w:right w:w="60" w:type="dxa"/>
            </w:tcMar>
            <w:vAlign w:val="center"/>
          </w:tcPr>
          <w:p w14:paraId="3217835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57529C3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5590CA3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6DF37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066A933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7D21E45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1841E71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投资管理</w:t>
            </w:r>
          </w:p>
        </w:tc>
        <w:tc>
          <w:tcPr>
            <w:tcW w:w="560" w:type="dxa"/>
            <w:tcMar>
              <w:top w:w="45" w:type="dxa"/>
              <w:left w:w="20" w:type="dxa"/>
              <w:bottom w:w="45" w:type="dxa"/>
              <w:right w:w="20" w:type="dxa"/>
            </w:tcMar>
            <w:vAlign w:val="center"/>
          </w:tcPr>
          <w:p w14:paraId="31C15F9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37F1603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1.建立投资管理制度；(0.2分）</w:t>
            </w:r>
          </w:p>
          <w:p w14:paraId="4B4F1E7D">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2.投资管理合规。(0.8分）</w:t>
            </w:r>
          </w:p>
          <w:p w14:paraId="0B0CEAE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注：无投资行为，此项不扣分。</w:t>
            </w:r>
          </w:p>
        </w:tc>
        <w:tc>
          <w:tcPr>
            <w:tcW w:w="640" w:type="dxa"/>
            <w:tcMar>
              <w:top w:w="45" w:type="dxa"/>
              <w:left w:w="60" w:type="dxa"/>
              <w:bottom w:w="45" w:type="dxa"/>
              <w:right w:w="60" w:type="dxa"/>
            </w:tcMar>
            <w:vAlign w:val="center"/>
          </w:tcPr>
          <w:p w14:paraId="16BD09B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5268FA2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71C5557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1A64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312B04F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7529FC9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restart"/>
            <w:tcMar>
              <w:top w:w="45" w:type="dxa"/>
              <w:left w:w="60" w:type="dxa"/>
              <w:bottom w:w="45" w:type="dxa"/>
              <w:right w:w="60" w:type="dxa"/>
            </w:tcMar>
            <w:vAlign w:val="center"/>
          </w:tcPr>
          <w:p w14:paraId="4FE4BBF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会费管理</w:t>
            </w:r>
          </w:p>
        </w:tc>
        <w:tc>
          <w:tcPr>
            <w:tcW w:w="560" w:type="dxa"/>
            <w:tcMar>
              <w:top w:w="45" w:type="dxa"/>
              <w:left w:w="20" w:type="dxa"/>
              <w:bottom w:w="45" w:type="dxa"/>
              <w:right w:w="20" w:type="dxa"/>
            </w:tcMar>
            <w:vAlign w:val="center"/>
          </w:tcPr>
          <w:p w14:paraId="081044F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71177A4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制定或修改会费标准程序合规，合理划分会费收缴层级，层级界定清晰。</w:t>
            </w:r>
          </w:p>
        </w:tc>
        <w:tc>
          <w:tcPr>
            <w:tcW w:w="640" w:type="dxa"/>
            <w:tcMar>
              <w:top w:w="45" w:type="dxa"/>
              <w:left w:w="60" w:type="dxa"/>
              <w:bottom w:w="45" w:type="dxa"/>
              <w:right w:w="60" w:type="dxa"/>
            </w:tcMar>
            <w:vAlign w:val="center"/>
          </w:tcPr>
          <w:p w14:paraId="1520043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4D36671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3638A33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127C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54CB73D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036C1E3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5A80815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5DE2EC9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6C0AA58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明确提供会员基本服务项目。</w:t>
            </w:r>
          </w:p>
        </w:tc>
        <w:tc>
          <w:tcPr>
            <w:tcW w:w="640" w:type="dxa"/>
            <w:tcMar>
              <w:top w:w="45" w:type="dxa"/>
              <w:left w:w="60" w:type="dxa"/>
              <w:bottom w:w="45" w:type="dxa"/>
              <w:right w:w="60" w:type="dxa"/>
            </w:tcMar>
            <w:vAlign w:val="center"/>
          </w:tcPr>
          <w:p w14:paraId="2FE5125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3074041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2DC0900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A1F3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036B271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3CB139D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5E22FCB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分支机构财务管理</w:t>
            </w:r>
          </w:p>
        </w:tc>
        <w:tc>
          <w:tcPr>
            <w:tcW w:w="560" w:type="dxa"/>
            <w:tcMar>
              <w:top w:w="45" w:type="dxa"/>
              <w:left w:w="20" w:type="dxa"/>
              <w:bottom w:w="45" w:type="dxa"/>
              <w:right w:w="20" w:type="dxa"/>
            </w:tcMar>
            <w:vAlign w:val="center"/>
          </w:tcPr>
          <w:p w14:paraId="1363356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368" w:type="dxa"/>
            <w:tcMar>
              <w:top w:w="45" w:type="dxa"/>
              <w:left w:w="60" w:type="dxa"/>
              <w:bottom w:w="45" w:type="dxa"/>
              <w:right w:w="60" w:type="dxa"/>
            </w:tcMar>
            <w:vAlign w:val="center"/>
          </w:tcPr>
          <w:p w14:paraId="2441D3F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1.建立分支机构财务管理制度；(0.2分）</w:t>
            </w:r>
          </w:p>
          <w:p w14:paraId="2030EB23">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2.分支机构财务管理合规。(0.3分）</w:t>
            </w:r>
          </w:p>
          <w:p w14:paraId="6CD505D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注：未建立分支机构此项不扣分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tc>
        <w:tc>
          <w:tcPr>
            <w:tcW w:w="640" w:type="dxa"/>
            <w:tcMar>
              <w:top w:w="45" w:type="dxa"/>
              <w:left w:w="60" w:type="dxa"/>
              <w:bottom w:w="45" w:type="dxa"/>
              <w:right w:w="60" w:type="dxa"/>
            </w:tcMar>
            <w:vAlign w:val="center"/>
          </w:tcPr>
          <w:p w14:paraId="75C8A0A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407C441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516FFAB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B084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2E64170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790DEC6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633A921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税收和票据</w:t>
            </w:r>
          </w:p>
        </w:tc>
        <w:tc>
          <w:tcPr>
            <w:tcW w:w="560" w:type="dxa"/>
            <w:tcMar>
              <w:top w:w="45" w:type="dxa"/>
              <w:left w:w="20" w:type="dxa"/>
              <w:bottom w:w="45" w:type="dxa"/>
              <w:right w:w="20" w:type="dxa"/>
            </w:tcMar>
            <w:vAlign w:val="center"/>
          </w:tcPr>
          <w:p w14:paraId="410A228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368" w:type="dxa"/>
            <w:tcMar>
              <w:top w:w="45" w:type="dxa"/>
              <w:left w:w="60" w:type="dxa"/>
              <w:bottom w:w="45" w:type="dxa"/>
              <w:right w:w="60" w:type="dxa"/>
            </w:tcMar>
            <w:vAlign w:val="center"/>
          </w:tcPr>
          <w:p w14:paraId="3E8354D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1.建立票据管理制度；(0.2分）</w:t>
            </w:r>
          </w:p>
          <w:p w14:paraId="56E448C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2.依法纳税；(0.8分）</w:t>
            </w:r>
          </w:p>
          <w:p w14:paraId="39CA35A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3.票据使用规范，无违规开票。（1分）</w:t>
            </w:r>
          </w:p>
        </w:tc>
        <w:tc>
          <w:tcPr>
            <w:tcW w:w="640" w:type="dxa"/>
            <w:tcMar>
              <w:top w:w="45" w:type="dxa"/>
              <w:left w:w="60" w:type="dxa"/>
              <w:bottom w:w="45" w:type="dxa"/>
              <w:right w:w="60" w:type="dxa"/>
            </w:tcMar>
            <w:vAlign w:val="center"/>
          </w:tcPr>
          <w:p w14:paraId="725C882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280C82D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4C7137C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F4DE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66A05E6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106BBAE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43090C0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财务报告</w:t>
            </w:r>
          </w:p>
        </w:tc>
        <w:tc>
          <w:tcPr>
            <w:tcW w:w="560" w:type="dxa"/>
            <w:tcMar>
              <w:top w:w="45" w:type="dxa"/>
              <w:left w:w="20" w:type="dxa"/>
              <w:bottom w:w="45" w:type="dxa"/>
              <w:right w:w="20" w:type="dxa"/>
            </w:tcMar>
            <w:vAlign w:val="center"/>
          </w:tcPr>
          <w:p w14:paraId="00BDC09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312E06B5">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建立财务报告制度，财务报告编制规范、披露真实。</w:t>
            </w:r>
          </w:p>
          <w:p w14:paraId="7D41F48C">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□建立财务报告制度；（0.5分）</w:t>
            </w:r>
          </w:p>
          <w:p w14:paraId="2431FAE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□财务报告编制规范、披露真实；（0.5分）</w:t>
            </w:r>
          </w:p>
        </w:tc>
        <w:tc>
          <w:tcPr>
            <w:tcW w:w="640" w:type="dxa"/>
            <w:tcMar>
              <w:top w:w="45" w:type="dxa"/>
              <w:left w:w="60" w:type="dxa"/>
              <w:bottom w:w="45" w:type="dxa"/>
              <w:right w:w="60" w:type="dxa"/>
            </w:tcMar>
            <w:vAlign w:val="center"/>
          </w:tcPr>
          <w:p w14:paraId="0369AAB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2C28D27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3424556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E9E22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136C573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6210198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6581ED6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财务监督及风险防控机制建设</w:t>
            </w:r>
          </w:p>
        </w:tc>
        <w:tc>
          <w:tcPr>
            <w:tcW w:w="560" w:type="dxa"/>
            <w:tcMar>
              <w:top w:w="45" w:type="dxa"/>
              <w:left w:w="20" w:type="dxa"/>
              <w:bottom w:w="45" w:type="dxa"/>
              <w:right w:w="20" w:type="dxa"/>
            </w:tcMar>
            <w:vAlign w:val="center"/>
          </w:tcPr>
          <w:p w14:paraId="5182C96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4BB0BCC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1.建立监督及风险防控制度；(0.2分）</w:t>
            </w:r>
          </w:p>
          <w:p w14:paraId="415028F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2.监事监督到位；(0.4分）</w:t>
            </w:r>
          </w:p>
          <w:p w14:paraId="4EDB7A0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3.接受审计及整改情况。(0.4分）</w:t>
            </w:r>
          </w:p>
        </w:tc>
        <w:tc>
          <w:tcPr>
            <w:tcW w:w="640" w:type="dxa"/>
            <w:tcMar>
              <w:top w:w="45" w:type="dxa"/>
              <w:left w:w="60" w:type="dxa"/>
              <w:bottom w:w="45" w:type="dxa"/>
              <w:right w:w="60" w:type="dxa"/>
            </w:tcMar>
            <w:vAlign w:val="center"/>
          </w:tcPr>
          <w:p w14:paraId="6CC84D0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19E9541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27113E8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1E0B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restart"/>
            <w:tcMar>
              <w:top w:w="45" w:type="dxa"/>
              <w:left w:w="60" w:type="dxa"/>
              <w:bottom w:w="45" w:type="dxa"/>
              <w:right w:w="60" w:type="dxa"/>
            </w:tcMar>
            <w:vAlign w:val="center"/>
          </w:tcPr>
          <w:p w14:paraId="3EF1CDC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工作绩效（37分）</w:t>
            </w:r>
          </w:p>
        </w:tc>
        <w:tc>
          <w:tcPr>
            <w:tcW w:w="1010" w:type="dxa"/>
            <w:vMerge w:val="restart"/>
            <w:tcMar>
              <w:top w:w="45" w:type="dxa"/>
              <w:left w:w="60" w:type="dxa"/>
              <w:bottom w:w="45" w:type="dxa"/>
              <w:right w:w="60" w:type="dxa"/>
            </w:tcMar>
            <w:vAlign w:val="center"/>
          </w:tcPr>
          <w:p w14:paraId="6D47C2D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学术活动</w:t>
            </w:r>
          </w:p>
        </w:tc>
        <w:tc>
          <w:tcPr>
            <w:tcW w:w="1456" w:type="dxa"/>
            <w:vMerge w:val="restart"/>
            <w:tcMar>
              <w:top w:w="45" w:type="dxa"/>
              <w:left w:w="60" w:type="dxa"/>
              <w:bottom w:w="45" w:type="dxa"/>
              <w:right w:w="60" w:type="dxa"/>
            </w:tcMar>
            <w:vAlign w:val="center"/>
          </w:tcPr>
          <w:p w14:paraId="26BF080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学术会议</w:t>
            </w:r>
          </w:p>
        </w:tc>
        <w:tc>
          <w:tcPr>
            <w:tcW w:w="560" w:type="dxa"/>
            <w:tcMar>
              <w:top w:w="45" w:type="dxa"/>
              <w:left w:w="20" w:type="dxa"/>
              <w:bottom w:w="45" w:type="dxa"/>
              <w:right w:w="20" w:type="dxa"/>
            </w:tcMar>
            <w:vAlign w:val="center"/>
          </w:tcPr>
          <w:p w14:paraId="034D2D4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368" w:type="dxa"/>
            <w:tcMar>
              <w:top w:w="45" w:type="dxa"/>
              <w:left w:w="60" w:type="dxa"/>
              <w:bottom w:w="45" w:type="dxa"/>
              <w:right w:w="60" w:type="dxa"/>
            </w:tcMar>
            <w:vAlign w:val="center"/>
          </w:tcPr>
          <w:p w14:paraId="7E960D56">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主办学术会议合计不少于2次，每次参会人数不少于20人。</w:t>
            </w:r>
          </w:p>
          <w:p w14:paraId="3DBF74C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注：本项学术会议不在其他指标中重复计算。</w:t>
            </w:r>
          </w:p>
        </w:tc>
        <w:tc>
          <w:tcPr>
            <w:tcW w:w="640" w:type="dxa"/>
            <w:tcMar>
              <w:top w:w="45" w:type="dxa"/>
              <w:left w:w="60" w:type="dxa"/>
              <w:bottom w:w="45" w:type="dxa"/>
              <w:right w:w="60" w:type="dxa"/>
            </w:tcMar>
            <w:vAlign w:val="center"/>
          </w:tcPr>
          <w:p w14:paraId="3136362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611215A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restart"/>
            <w:tcMar>
              <w:top w:w="45" w:type="dxa"/>
              <w:left w:w="60" w:type="dxa"/>
              <w:bottom w:w="45" w:type="dxa"/>
              <w:right w:w="60" w:type="dxa"/>
            </w:tcMar>
            <w:vAlign w:val="center"/>
          </w:tcPr>
          <w:p w14:paraId="4D796FB0">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1.主办的学术会议、学术论坛、学术讲座、学术展览、国内外学术交流活动相关材料；</w:t>
            </w:r>
          </w:p>
          <w:p w14:paraId="1B7D728B">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2.学术会议获得市级及以上媒体宣传报道的相关材料；</w:t>
            </w:r>
          </w:p>
          <w:p w14:paraId="1E627414">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3.学术会议议题紧扣行业发展与学科前沿、形成成果转化方案的相关材料；</w:t>
            </w:r>
          </w:p>
          <w:p w14:paraId="784870F4">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4.学术期刊、会刊、 内部刊物的编辑出版、备案相关材料；</w:t>
            </w:r>
          </w:p>
          <w:p w14:paraId="598C6836">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5.以社团名义编纂、出版专业书籍的相关材料（含独立编纂、联合编纂、章节编写等佐证材料）；</w:t>
            </w:r>
          </w:p>
          <w:p w14:paraId="091FA14B">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6.承担或组织开展的省级、市级、县级课题研究及成果形成相关材料；</w:t>
            </w:r>
          </w:p>
          <w:p w14:paraId="6D3E47B2">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7.学术自律公约、会员学术行为规范的制定、审议、发布相关材料；</w:t>
            </w:r>
          </w:p>
          <w:p w14:paraId="0AA7EA29">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8.按规定开展的评比达标表彰、创建示范活动的相关材料，无相关活动的提供无活动说明；</w:t>
            </w:r>
          </w:p>
          <w:p w14:paraId="4AE24CEE">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9.参与制定（修订）法律法规、发展规划、政策文件的相关材料；</w:t>
            </w:r>
          </w:p>
          <w:p w14:paraId="075B52FA">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10.向政府主管部门提出的政策建议及采纳情况证明材料；</w:t>
            </w:r>
          </w:p>
          <w:p w14:paraId="36A7CF7C">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11.开展专业咨询服务的相关材料（含服务台账、服务成果、满意度评价等）；</w:t>
            </w:r>
          </w:p>
          <w:p w14:paraId="63CA076D">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12.牵头或参与行业/团体标准制定（修订）的相关材料（含正式标准文本、实施指南、应用案例等）；</w:t>
            </w:r>
          </w:p>
          <w:p w14:paraId="76983DDF">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13.组织开展技能人才评价工作的相关材料；</w:t>
            </w:r>
          </w:p>
          <w:p w14:paraId="07874D8E">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14.组织开展面向社会大众的科普活动相关材料；</w:t>
            </w:r>
          </w:p>
          <w:p w14:paraId="71113406">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15.科普活动获得市级及以上媒体宣传报道的相关材料；</w:t>
            </w:r>
          </w:p>
          <w:p w14:paraId="4267251B">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16.组织开展乡村振兴、 区域协调发展、科教兴国、人才强国、创新驱动发展、可持续发展等服务国家重大发展战略工作的相关材料；</w:t>
            </w:r>
          </w:p>
          <w:p w14:paraId="5E26A055">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17.本领域专业师资队伍建设相关材料；</w:t>
            </w:r>
          </w:p>
          <w:p w14:paraId="213B79B2">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18.开展本领域人才培育活动、搭建人才成长平台的相关材料；</w:t>
            </w:r>
          </w:p>
          <w:p w14:paraId="236D1A53">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19.会员管理执行到位的相关佐证材料、会员（姓名、工作单位及职务、在社会组织兼任的职务、联系电话）花名册、会员管理台账、会员服务记录、会员数据库建设等情况说明；</w:t>
            </w:r>
          </w:p>
          <w:p w14:paraId="34807D41">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20.会费收缴情况、涉企收费情况说明；</w:t>
            </w:r>
          </w:p>
          <w:p w14:paraId="134E6AD7">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21.围绕对台交流合作、 民政民生保障、侨务资源整合凝聚等领域开展的学术特色主题实践活动相关材料；</w:t>
            </w:r>
          </w:p>
          <w:p w14:paraId="0F8F390E">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22.活动获得相关部门、社会公众正面评价的佐证材料；</w:t>
            </w:r>
          </w:p>
          <w:p w14:paraId="26A75108">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23.官方网站、微信公众号、视频号、行业报刊、小程序等信息平台的建设、运营、更新情况材料；</w:t>
            </w:r>
          </w:p>
          <w:p w14:paraId="25A3CD7A">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24.组织基本信息、年度工作报告、财务工作报告、收费信息等公开内容的相关材料；</w:t>
            </w:r>
          </w:p>
          <w:p w14:paraId="64D1CA5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25.评估周期内协会及相关工作获得的各级各类荣誉证书、表彰文件等。</w:t>
            </w:r>
          </w:p>
        </w:tc>
      </w:tr>
      <w:tr w14:paraId="2B1C2C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51F178B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6E7A0CC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20B277F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4140583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368" w:type="dxa"/>
            <w:tcMar>
              <w:top w:w="45" w:type="dxa"/>
              <w:left w:w="60" w:type="dxa"/>
              <w:bottom w:w="45" w:type="dxa"/>
              <w:right w:w="60" w:type="dxa"/>
            </w:tcMar>
            <w:vAlign w:val="center"/>
          </w:tcPr>
          <w:p w14:paraId="5C2D344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1.学术会议交流论文总篇数在20篇的基础上，每增加1篇得0.1分，合计1分。</w:t>
            </w:r>
          </w:p>
          <w:p w14:paraId="11BB1AA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2.第“1”项中的交流论文被核心期刊收录，每增加1篇得0.2分，合计1分。</w:t>
            </w:r>
          </w:p>
        </w:tc>
        <w:tc>
          <w:tcPr>
            <w:tcW w:w="640" w:type="dxa"/>
            <w:tcMar>
              <w:top w:w="45" w:type="dxa"/>
              <w:left w:w="60" w:type="dxa"/>
              <w:bottom w:w="45" w:type="dxa"/>
              <w:right w:w="60" w:type="dxa"/>
            </w:tcMar>
            <w:vAlign w:val="center"/>
          </w:tcPr>
          <w:p w14:paraId="79AC0A8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210FAC4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311F408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811A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5AE5A79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071BCDB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756EC77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42ADDC7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4CDFDEC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1.主办的学术会议具有市级及以上行业影响力，获得市级及以上媒体宣传报道；(1分）</w:t>
            </w:r>
          </w:p>
          <w:p w14:paraId="1EF321F7">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2.主办的学术会议具有区县级行业影响力，获得区县级媒体宣传报道。(0.5分）</w:t>
            </w:r>
          </w:p>
          <w:p w14:paraId="358E741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注：无相关活动不得分。</w:t>
            </w:r>
          </w:p>
        </w:tc>
        <w:tc>
          <w:tcPr>
            <w:tcW w:w="640" w:type="dxa"/>
            <w:tcMar>
              <w:top w:w="45" w:type="dxa"/>
              <w:left w:w="60" w:type="dxa"/>
              <w:bottom w:w="45" w:type="dxa"/>
              <w:right w:w="60" w:type="dxa"/>
            </w:tcMar>
            <w:vAlign w:val="center"/>
          </w:tcPr>
          <w:p w14:paraId="0441309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26125AB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6D7EB3E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AB8EF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3D183C5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36072BE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23CB8F0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7513E35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22A72B7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会议议题紧扣行业发展与学科前沿，形成成果转化方案。</w:t>
            </w:r>
          </w:p>
        </w:tc>
        <w:tc>
          <w:tcPr>
            <w:tcW w:w="640" w:type="dxa"/>
            <w:tcMar>
              <w:top w:w="45" w:type="dxa"/>
              <w:left w:w="60" w:type="dxa"/>
              <w:bottom w:w="45" w:type="dxa"/>
              <w:right w:w="60" w:type="dxa"/>
            </w:tcMar>
            <w:vAlign w:val="center"/>
          </w:tcPr>
          <w:p w14:paraId="24A7C8A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73F1FCA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05B89CC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7103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4DAFD3C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024213B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restart"/>
            <w:tcMar>
              <w:top w:w="45" w:type="dxa"/>
              <w:left w:w="60" w:type="dxa"/>
              <w:bottom w:w="45" w:type="dxa"/>
              <w:right w:w="60" w:type="dxa"/>
            </w:tcMar>
            <w:vAlign w:val="center"/>
          </w:tcPr>
          <w:p w14:paraId="10700AC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学术书刊</w:t>
            </w:r>
          </w:p>
        </w:tc>
        <w:tc>
          <w:tcPr>
            <w:tcW w:w="560" w:type="dxa"/>
            <w:tcMar>
              <w:top w:w="45" w:type="dxa"/>
              <w:left w:w="20" w:type="dxa"/>
              <w:bottom w:w="45" w:type="dxa"/>
              <w:right w:w="20" w:type="dxa"/>
            </w:tcMar>
            <w:vAlign w:val="center"/>
          </w:tcPr>
          <w:p w14:paraId="180EC52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368" w:type="dxa"/>
            <w:tcMar>
              <w:top w:w="45" w:type="dxa"/>
              <w:left w:w="60" w:type="dxa"/>
              <w:bottom w:w="45" w:type="dxa"/>
              <w:right w:w="60" w:type="dxa"/>
            </w:tcMar>
            <w:vAlign w:val="center"/>
          </w:tcPr>
          <w:p w14:paraId="12A3C61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1.有公开发行的专业期刊，按规定备案；（2分）</w:t>
            </w:r>
          </w:p>
          <w:p w14:paraId="0471547A">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2.内部定期免费发行刊物，发行周期固定（每季度至少1期），按规定备案。（1分）</w:t>
            </w:r>
          </w:p>
          <w:p w14:paraId="6ADC441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注：此项没有不得分。</w:t>
            </w:r>
          </w:p>
        </w:tc>
        <w:tc>
          <w:tcPr>
            <w:tcW w:w="640" w:type="dxa"/>
            <w:tcMar>
              <w:top w:w="45" w:type="dxa"/>
              <w:left w:w="60" w:type="dxa"/>
              <w:bottom w:w="45" w:type="dxa"/>
              <w:right w:w="60" w:type="dxa"/>
            </w:tcMar>
            <w:vAlign w:val="center"/>
          </w:tcPr>
          <w:p w14:paraId="02B4614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7B5C9E4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2EB01F7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62FD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478E943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6F0D581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072FF6A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2F976B3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16D0316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1.以社团名义独立编著、出版专业书籍，由正规出版社出版；(1分）</w:t>
            </w:r>
          </w:p>
          <w:p w14:paraId="5D227C5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2.与其他单位共同编著出版专业书籍，社团在其中发挥主导作用，由正规出版社出版；(0.8分）</w:t>
            </w:r>
          </w:p>
          <w:p w14:paraId="77D97E2D">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3.承担专业书籍部分章节编著。(0.5分）</w:t>
            </w:r>
          </w:p>
          <w:p w14:paraId="40CF4CC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注：此项没有不得分。</w:t>
            </w:r>
          </w:p>
        </w:tc>
        <w:tc>
          <w:tcPr>
            <w:tcW w:w="640" w:type="dxa"/>
            <w:tcMar>
              <w:top w:w="45" w:type="dxa"/>
              <w:left w:w="60" w:type="dxa"/>
              <w:bottom w:w="45" w:type="dxa"/>
              <w:right w:w="60" w:type="dxa"/>
            </w:tcMar>
            <w:vAlign w:val="center"/>
          </w:tcPr>
          <w:p w14:paraId="3A9128B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6B04916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5829448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890D3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092BC18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6381129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1078271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学术研究</w:t>
            </w:r>
          </w:p>
        </w:tc>
        <w:tc>
          <w:tcPr>
            <w:tcW w:w="560" w:type="dxa"/>
            <w:tcMar>
              <w:top w:w="45" w:type="dxa"/>
              <w:left w:w="20" w:type="dxa"/>
              <w:bottom w:w="45" w:type="dxa"/>
              <w:right w:w="20" w:type="dxa"/>
            </w:tcMar>
            <w:vAlign w:val="center"/>
          </w:tcPr>
          <w:p w14:paraId="1584181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368" w:type="dxa"/>
            <w:tcMar>
              <w:top w:w="45" w:type="dxa"/>
              <w:left w:w="60" w:type="dxa"/>
              <w:bottom w:w="45" w:type="dxa"/>
              <w:right w:w="60" w:type="dxa"/>
            </w:tcMar>
            <w:vAlign w:val="center"/>
          </w:tcPr>
          <w:p w14:paraId="3764D69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1.承担或组织开展省级及以上课题，并已形成成果，1项得1.5分；</w:t>
            </w:r>
          </w:p>
          <w:p w14:paraId="6228F3F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2.承担或组织开展市级课题，并已形成成果，1项得1分；</w:t>
            </w:r>
          </w:p>
          <w:p w14:paraId="799E148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3.承担或组织开展区县级课题，并已形成成果，1项得0.5分。</w:t>
            </w:r>
          </w:p>
        </w:tc>
        <w:tc>
          <w:tcPr>
            <w:tcW w:w="640" w:type="dxa"/>
            <w:tcMar>
              <w:top w:w="45" w:type="dxa"/>
              <w:left w:w="60" w:type="dxa"/>
              <w:bottom w:w="45" w:type="dxa"/>
              <w:right w:w="60" w:type="dxa"/>
            </w:tcMar>
            <w:vAlign w:val="center"/>
          </w:tcPr>
          <w:p w14:paraId="429633A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1C6A1CB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1E94784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1DAB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02F28EF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restart"/>
            <w:tcMar>
              <w:top w:w="45" w:type="dxa"/>
              <w:left w:w="60" w:type="dxa"/>
              <w:bottom w:w="45" w:type="dxa"/>
              <w:right w:w="60" w:type="dxa"/>
            </w:tcMar>
            <w:vAlign w:val="center"/>
          </w:tcPr>
          <w:p w14:paraId="42EFD9B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学术自律</w:t>
            </w:r>
          </w:p>
        </w:tc>
        <w:tc>
          <w:tcPr>
            <w:tcW w:w="1456" w:type="dxa"/>
            <w:vMerge w:val="restart"/>
            <w:tcMar>
              <w:top w:w="45" w:type="dxa"/>
              <w:left w:w="60" w:type="dxa"/>
              <w:bottom w:w="45" w:type="dxa"/>
              <w:right w:w="60" w:type="dxa"/>
            </w:tcMar>
            <w:vAlign w:val="center"/>
          </w:tcPr>
          <w:p w14:paraId="220FC0B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规范行为</w:t>
            </w:r>
          </w:p>
        </w:tc>
        <w:tc>
          <w:tcPr>
            <w:tcW w:w="560" w:type="dxa"/>
            <w:tcMar>
              <w:top w:w="45" w:type="dxa"/>
              <w:left w:w="20" w:type="dxa"/>
              <w:bottom w:w="45" w:type="dxa"/>
              <w:right w:w="20" w:type="dxa"/>
            </w:tcMar>
            <w:vAlign w:val="center"/>
          </w:tcPr>
          <w:p w14:paraId="0E55CA7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13F87FE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1.制定学术自律公约或会员行为规范；(0.4分）</w:t>
            </w:r>
          </w:p>
          <w:p w14:paraId="1FF9AC6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2.自律规范文件通过会员（代表）大会或理事会审议通过，向会员、社会发布。(0.6分）</w:t>
            </w:r>
          </w:p>
        </w:tc>
        <w:tc>
          <w:tcPr>
            <w:tcW w:w="640" w:type="dxa"/>
            <w:tcMar>
              <w:top w:w="45" w:type="dxa"/>
              <w:left w:w="60" w:type="dxa"/>
              <w:bottom w:w="45" w:type="dxa"/>
              <w:right w:w="60" w:type="dxa"/>
            </w:tcMar>
            <w:vAlign w:val="center"/>
          </w:tcPr>
          <w:p w14:paraId="31B7E41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2526E90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644FEFD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1B20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2721F54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618D7E7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039B305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0B638F7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6544B26D">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经审批按规定开展评比表彰等活动。出现违规开展评比表彰、创建示范行为，此项不得分。</w:t>
            </w:r>
          </w:p>
          <w:p w14:paraId="60EA5CC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注：无相关活动不扣分。</w:t>
            </w:r>
          </w:p>
        </w:tc>
        <w:tc>
          <w:tcPr>
            <w:tcW w:w="640" w:type="dxa"/>
            <w:tcMar>
              <w:top w:w="45" w:type="dxa"/>
              <w:left w:w="60" w:type="dxa"/>
              <w:bottom w:w="45" w:type="dxa"/>
              <w:right w:w="60" w:type="dxa"/>
            </w:tcMar>
            <w:vAlign w:val="center"/>
          </w:tcPr>
          <w:p w14:paraId="658FFBD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52E1F17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23FE707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DD18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464DB83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restart"/>
            <w:tcMar>
              <w:top w:w="45" w:type="dxa"/>
              <w:left w:w="60" w:type="dxa"/>
              <w:bottom w:w="45" w:type="dxa"/>
              <w:right w:w="60" w:type="dxa"/>
            </w:tcMar>
            <w:vAlign w:val="center"/>
          </w:tcPr>
          <w:p w14:paraId="57225A4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建议咨询</w:t>
            </w:r>
          </w:p>
        </w:tc>
        <w:tc>
          <w:tcPr>
            <w:tcW w:w="1456" w:type="dxa"/>
            <w:vMerge w:val="restart"/>
            <w:tcMar>
              <w:top w:w="45" w:type="dxa"/>
              <w:left w:w="60" w:type="dxa"/>
              <w:bottom w:w="45" w:type="dxa"/>
              <w:right w:w="60" w:type="dxa"/>
            </w:tcMar>
            <w:vAlign w:val="center"/>
          </w:tcPr>
          <w:p w14:paraId="7579114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政策建议</w:t>
            </w:r>
          </w:p>
        </w:tc>
        <w:tc>
          <w:tcPr>
            <w:tcW w:w="560" w:type="dxa"/>
            <w:tcMar>
              <w:top w:w="45" w:type="dxa"/>
              <w:left w:w="20" w:type="dxa"/>
              <w:bottom w:w="45" w:type="dxa"/>
              <w:right w:w="20" w:type="dxa"/>
            </w:tcMar>
            <w:vAlign w:val="center"/>
          </w:tcPr>
          <w:p w14:paraId="23A296F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7D43E29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参与制定（修订）法律法规、发展规划，以书面形式提出政策建议。</w:t>
            </w:r>
          </w:p>
        </w:tc>
        <w:tc>
          <w:tcPr>
            <w:tcW w:w="640" w:type="dxa"/>
            <w:tcMar>
              <w:top w:w="45" w:type="dxa"/>
              <w:left w:w="60" w:type="dxa"/>
              <w:bottom w:w="45" w:type="dxa"/>
              <w:right w:w="60" w:type="dxa"/>
            </w:tcMar>
            <w:vAlign w:val="center"/>
          </w:tcPr>
          <w:p w14:paraId="0F231EB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289B68A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4E49217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8B37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661A946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15A441B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75EED81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3827D5E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60F2DF8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提出相关行业政策建议，被政府部门采纳，形成政策文件。</w:t>
            </w:r>
          </w:p>
        </w:tc>
        <w:tc>
          <w:tcPr>
            <w:tcW w:w="640" w:type="dxa"/>
            <w:tcMar>
              <w:top w:w="45" w:type="dxa"/>
              <w:left w:w="60" w:type="dxa"/>
              <w:bottom w:w="45" w:type="dxa"/>
              <w:right w:w="60" w:type="dxa"/>
            </w:tcMar>
            <w:vAlign w:val="center"/>
          </w:tcPr>
          <w:p w14:paraId="3E40B0F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784AAEA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5CF8C6E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0715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63622B3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6FD7642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restart"/>
            <w:tcMar>
              <w:top w:w="45" w:type="dxa"/>
              <w:left w:w="60" w:type="dxa"/>
              <w:bottom w:w="45" w:type="dxa"/>
              <w:right w:w="60" w:type="dxa"/>
            </w:tcMar>
            <w:vAlign w:val="center"/>
          </w:tcPr>
          <w:p w14:paraId="2A62F30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咨询评价</w:t>
            </w:r>
          </w:p>
        </w:tc>
        <w:tc>
          <w:tcPr>
            <w:tcW w:w="560" w:type="dxa"/>
            <w:tcMar>
              <w:top w:w="45" w:type="dxa"/>
              <w:left w:w="20" w:type="dxa"/>
              <w:bottom w:w="45" w:type="dxa"/>
              <w:right w:w="20" w:type="dxa"/>
            </w:tcMar>
            <w:vAlign w:val="center"/>
          </w:tcPr>
          <w:p w14:paraId="7BBAD15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368" w:type="dxa"/>
            <w:tcMar>
              <w:top w:w="45" w:type="dxa"/>
              <w:left w:w="60" w:type="dxa"/>
              <w:bottom w:w="45" w:type="dxa"/>
              <w:right w:w="60" w:type="dxa"/>
            </w:tcMar>
            <w:vAlign w:val="center"/>
          </w:tcPr>
          <w:p w14:paraId="2503960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1.提供相关专业咨询服务，每年开展相关服务合计不少于8次；(1.6分）</w:t>
            </w:r>
          </w:p>
          <w:p w14:paraId="7D0DE65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2.服务满意度达到80%以上。(0.4分）</w:t>
            </w:r>
          </w:p>
        </w:tc>
        <w:tc>
          <w:tcPr>
            <w:tcW w:w="640" w:type="dxa"/>
            <w:tcMar>
              <w:top w:w="45" w:type="dxa"/>
              <w:left w:w="60" w:type="dxa"/>
              <w:bottom w:w="45" w:type="dxa"/>
              <w:right w:w="60" w:type="dxa"/>
            </w:tcMar>
            <w:vAlign w:val="center"/>
          </w:tcPr>
          <w:p w14:paraId="7BEAA23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17A2B5A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1FB5315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7B6D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0709EB4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5B118CA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16C0D0F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60BDC7D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10C8E8B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牵头或参与行业/团体标准制定（修订）工作，形成正式标准文本、实施指南及应用案例，每个标准得0.5分。</w:t>
            </w:r>
          </w:p>
        </w:tc>
        <w:tc>
          <w:tcPr>
            <w:tcW w:w="640" w:type="dxa"/>
            <w:tcMar>
              <w:top w:w="45" w:type="dxa"/>
              <w:left w:w="60" w:type="dxa"/>
              <w:bottom w:w="45" w:type="dxa"/>
              <w:right w:w="60" w:type="dxa"/>
            </w:tcMar>
            <w:vAlign w:val="center"/>
          </w:tcPr>
          <w:p w14:paraId="40D659B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5BDC4D9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7EA7F95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CA16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2E529B3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1301DC0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1FAC9C5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61B91A4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4F35198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组织开展技能人才评价工作。</w:t>
            </w:r>
          </w:p>
        </w:tc>
        <w:tc>
          <w:tcPr>
            <w:tcW w:w="640" w:type="dxa"/>
            <w:tcMar>
              <w:top w:w="45" w:type="dxa"/>
              <w:left w:w="60" w:type="dxa"/>
              <w:bottom w:w="45" w:type="dxa"/>
              <w:right w:w="60" w:type="dxa"/>
            </w:tcMar>
            <w:vAlign w:val="center"/>
          </w:tcPr>
          <w:p w14:paraId="0F80785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6A60FE8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667DA45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5A910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2B58F28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restart"/>
            <w:tcMar>
              <w:top w:w="45" w:type="dxa"/>
              <w:left w:w="60" w:type="dxa"/>
              <w:bottom w:w="45" w:type="dxa"/>
              <w:right w:w="60" w:type="dxa"/>
            </w:tcMar>
            <w:vAlign w:val="center"/>
          </w:tcPr>
          <w:p w14:paraId="0E8BE52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科普公益</w:t>
            </w:r>
          </w:p>
        </w:tc>
        <w:tc>
          <w:tcPr>
            <w:tcW w:w="1456" w:type="dxa"/>
            <w:vMerge w:val="restart"/>
            <w:tcMar>
              <w:top w:w="45" w:type="dxa"/>
              <w:left w:w="60" w:type="dxa"/>
              <w:bottom w:w="45" w:type="dxa"/>
              <w:right w:w="60" w:type="dxa"/>
            </w:tcMar>
            <w:vAlign w:val="center"/>
          </w:tcPr>
          <w:p w14:paraId="0B76AE0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科普活动</w:t>
            </w:r>
          </w:p>
        </w:tc>
        <w:tc>
          <w:tcPr>
            <w:tcW w:w="560" w:type="dxa"/>
            <w:tcMar>
              <w:top w:w="45" w:type="dxa"/>
              <w:left w:w="20" w:type="dxa"/>
              <w:bottom w:w="45" w:type="dxa"/>
              <w:right w:w="20" w:type="dxa"/>
            </w:tcMar>
            <w:vAlign w:val="center"/>
          </w:tcPr>
          <w:p w14:paraId="7690176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368" w:type="dxa"/>
            <w:tcMar>
              <w:top w:w="45" w:type="dxa"/>
              <w:left w:w="60" w:type="dxa"/>
              <w:bottom w:w="45" w:type="dxa"/>
              <w:right w:w="60" w:type="dxa"/>
            </w:tcMar>
            <w:vAlign w:val="center"/>
          </w:tcPr>
          <w:p w14:paraId="324750B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每年组织面向社会大众的科普活动不少于2次。</w:t>
            </w:r>
          </w:p>
        </w:tc>
        <w:tc>
          <w:tcPr>
            <w:tcW w:w="640" w:type="dxa"/>
            <w:tcMar>
              <w:top w:w="45" w:type="dxa"/>
              <w:left w:w="60" w:type="dxa"/>
              <w:bottom w:w="45" w:type="dxa"/>
              <w:right w:w="60" w:type="dxa"/>
            </w:tcMar>
            <w:vAlign w:val="center"/>
          </w:tcPr>
          <w:p w14:paraId="473780F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5129C41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718F83A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8824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530EFE2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0A5CE45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6F576A3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672E32A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7E78A65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科普活动影响力大，获得市级及以上媒体报道不少于2次，社会效果好。</w:t>
            </w:r>
          </w:p>
        </w:tc>
        <w:tc>
          <w:tcPr>
            <w:tcW w:w="640" w:type="dxa"/>
            <w:tcMar>
              <w:top w:w="45" w:type="dxa"/>
              <w:left w:w="60" w:type="dxa"/>
              <w:bottom w:w="45" w:type="dxa"/>
              <w:right w:w="60" w:type="dxa"/>
            </w:tcMar>
            <w:vAlign w:val="center"/>
          </w:tcPr>
          <w:p w14:paraId="484BE7D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5996191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1D685C9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97D57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1876913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104B4C4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293B897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社会责任</w:t>
            </w:r>
          </w:p>
        </w:tc>
        <w:tc>
          <w:tcPr>
            <w:tcW w:w="560" w:type="dxa"/>
            <w:tcMar>
              <w:top w:w="45" w:type="dxa"/>
              <w:left w:w="20" w:type="dxa"/>
              <w:bottom w:w="45" w:type="dxa"/>
              <w:right w:w="20" w:type="dxa"/>
            </w:tcMar>
            <w:vAlign w:val="center"/>
          </w:tcPr>
          <w:p w14:paraId="7F84D3B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368" w:type="dxa"/>
            <w:tcMar>
              <w:top w:w="45" w:type="dxa"/>
              <w:left w:w="60" w:type="dxa"/>
              <w:bottom w:w="45" w:type="dxa"/>
              <w:right w:w="60" w:type="dxa"/>
            </w:tcMar>
            <w:vAlign w:val="center"/>
          </w:tcPr>
          <w:p w14:paraId="0194F58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服务国家重大发展战略：组织开展乡村振兴、区域协调发展、科教兴国、人才强国、创新驱动发展、可持续发展等重点工作。</w:t>
            </w:r>
          </w:p>
        </w:tc>
        <w:tc>
          <w:tcPr>
            <w:tcW w:w="640" w:type="dxa"/>
            <w:tcMar>
              <w:top w:w="45" w:type="dxa"/>
              <w:left w:w="60" w:type="dxa"/>
              <w:bottom w:w="45" w:type="dxa"/>
              <w:right w:w="60" w:type="dxa"/>
            </w:tcMar>
            <w:vAlign w:val="center"/>
          </w:tcPr>
          <w:p w14:paraId="1A4DABB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0C19812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340157F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E57D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2AD4998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tcMar>
              <w:top w:w="45" w:type="dxa"/>
              <w:left w:w="60" w:type="dxa"/>
              <w:bottom w:w="45" w:type="dxa"/>
              <w:right w:w="60" w:type="dxa"/>
            </w:tcMar>
            <w:vAlign w:val="center"/>
          </w:tcPr>
          <w:p w14:paraId="6DF9DE1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开展培训</w:t>
            </w:r>
          </w:p>
        </w:tc>
        <w:tc>
          <w:tcPr>
            <w:tcW w:w="1456" w:type="dxa"/>
            <w:tcMar>
              <w:top w:w="45" w:type="dxa"/>
              <w:left w:w="60" w:type="dxa"/>
              <w:bottom w:w="45" w:type="dxa"/>
              <w:right w:w="60" w:type="dxa"/>
            </w:tcMar>
            <w:vAlign w:val="center"/>
          </w:tcPr>
          <w:p w14:paraId="1FF538E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人才培训</w:t>
            </w:r>
          </w:p>
        </w:tc>
        <w:tc>
          <w:tcPr>
            <w:tcW w:w="560" w:type="dxa"/>
            <w:tcMar>
              <w:top w:w="45" w:type="dxa"/>
              <w:left w:w="20" w:type="dxa"/>
              <w:bottom w:w="45" w:type="dxa"/>
              <w:right w:w="20" w:type="dxa"/>
            </w:tcMar>
            <w:vAlign w:val="center"/>
          </w:tcPr>
          <w:p w14:paraId="30BE3A0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4B42AD1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1.建立本领域培训管理制度，组建专业师资队伍；(0.4分）</w:t>
            </w:r>
          </w:p>
          <w:p w14:paraId="6524AD9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2.开展本领域人才培育工作，搭建人才成长平台，</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每</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年人才培育活动不少于2场。(0.6分）</w:t>
            </w:r>
          </w:p>
        </w:tc>
        <w:tc>
          <w:tcPr>
            <w:tcW w:w="640" w:type="dxa"/>
            <w:tcMar>
              <w:top w:w="45" w:type="dxa"/>
              <w:left w:w="60" w:type="dxa"/>
              <w:bottom w:w="45" w:type="dxa"/>
              <w:right w:w="60" w:type="dxa"/>
            </w:tcMar>
            <w:vAlign w:val="center"/>
          </w:tcPr>
          <w:p w14:paraId="0C44C6B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6A007C5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25B9A13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0E81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0DD638D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tcMar>
              <w:top w:w="45" w:type="dxa"/>
              <w:left w:w="60" w:type="dxa"/>
              <w:bottom w:w="45" w:type="dxa"/>
              <w:right w:w="60" w:type="dxa"/>
            </w:tcMar>
            <w:vAlign w:val="center"/>
          </w:tcPr>
          <w:p w14:paraId="420A280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会员管理</w:t>
            </w:r>
          </w:p>
        </w:tc>
        <w:tc>
          <w:tcPr>
            <w:tcW w:w="1456" w:type="dxa"/>
            <w:tcMar>
              <w:top w:w="45" w:type="dxa"/>
              <w:left w:w="60" w:type="dxa"/>
              <w:bottom w:w="45" w:type="dxa"/>
              <w:right w:w="60" w:type="dxa"/>
            </w:tcMar>
            <w:vAlign w:val="center"/>
          </w:tcPr>
          <w:p w14:paraId="5D61720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会员管理</w:t>
            </w:r>
          </w:p>
        </w:tc>
        <w:tc>
          <w:tcPr>
            <w:tcW w:w="560" w:type="dxa"/>
            <w:tcMar>
              <w:top w:w="45" w:type="dxa"/>
              <w:left w:w="20" w:type="dxa"/>
              <w:bottom w:w="45" w:type="dxa"/>
              <w:right w:w="20" w:type="dxa"/>
            </w:tcMar>
            <w:vAlign w:val="center"/>
          </w:tcPr>
          <w:p w14:paraId="2F675F4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368" w:type="dxa"/>
            <w:tcMar>
              <w:top w:w="45" w:type="dxa"/>
              <w:left w:w="60" w:type="dxa"/>
              <w:bottom w:w="45" w:type="dxa"/>
              <w:right w:w="60" w:type="dxa"/>
            </w:tcMar>
            <w:vAlign w:val="center"/>
          </w:tcPr>
          <w:p w14:paraId="5E2D67B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1.建立会员管理制度；(0.5分）</w:t>
            </w:r>
          </w:p>
          <w:p w14:paraId="5F3AC29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2.会员管理执行到位。（1.5分）</w:t>
            </w:r>
          </w:p>
        </w:tc>
        <w:tc>
          <w:tcPr>
            <w:tcW w:w="640" w:type="dxa"/>
            <w:tcMar>
              <w:top w:w="45" w:type="dxa"/>
              <w:left w:w="60" w:type="dxa"/>
              <w:bottom w:w="45" w:type="dxa"/>
              <w:right w:w="60" w:type="dxa"/>
            </w:tcMar>
            <w:vAlign w:val="center"/>
          </w:tcPr>
          <w:p w14:paraId="77B40EC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5E35507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6683C48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CB7A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77FB041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tcMar>
              <w:top w:w="45" w:type="dxa"/>
              <w:left w:w="60" w:type="dxa"/>
              <w:bottom w:w="45" w:type="dxa"/>
              <w:right w:w="60" w:type="dxa"/>
            </w:tcMar>
            <w:vAlign w:val="center"/>
          </w:tcPr>
          <w:p w14:paraId="30CF912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特色活动</w:t>
            </w:r>
          </w:p>
        </w:tc>
        <w:tc>
          <w:tcPr>
            <w:tcW w:w="1456" w:type="dxa"/>
            <w:tcMar>
              <w:top w:w="45" w:type="dxa"/>
              <w:left w:w="60" w:type="dxa"/>
              <w:bottom w:w="45" w:type="dxa"/>
              <w:right w:w="60" w:type="dxa"/>
            </w:tcMar>
            <w:vAlign w:val="center"/>
          </w:tcPr>
          <w:p w14:paraId="792DAD4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特色主题活动开展</w:t>
            </w:r>
          </w:p>
        </w:tc>
        <w:tc>
          <w:tcPr>
            <w:tcW w:w="560" w:type="dxa"/>
            <w:tcMar>
              <w:top w:w="45" w:type="dxa"/>
              <w:left w:w="20" w:type="dxa"/>
              <w:bottom w:w="45" w:type="dxa"/>
              <w:right w:w="20" w:type="dxa"/>
            </w:tcMar>
            <w:vAlign w:val="center"/>
          </w:tcPr>
          <w:p w14:paraId="24986E6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368" w:type="dxa"/>
            <w:tcMar>
              <w:top w:w="45" w:type="dxa"/>
              <w:left w:w="60" w:type="dxa"/>
              <w:bottom w:w="45" w:type="dxa"/>
              <w:right w:w="60" w:type="dxa"/>
            </w:tcMar>
            <w:vAlign w:val="center"/>
          </w:tcPr>
          <w:p w14:paraId="525ABE7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1.评估周期内，围绕对台交流合作、民政民生保障、侨务资源整合凝聚等领域，开展至少1次具有行业特色的主题实践活动；(1.5分）</w:t>
            </w:r>
          </w:p>
          <w:p w14:paraId="6096378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2.活动能有效服务行业发展、助力地方中心工作，获得相关部门或社会公众的正面评价，具备一定的行业影响力或社会影响力。(0.5分）</w:t>
            </w:r>
          </w:p>
        </w:tc>
        <w:tc>
          <w:tcPr>
            <w:tcW w:w="640" w:type="dxa"/>
            <w:tcMar>
              <w:top w:w="45" w:type="dxa"/>
              <w:left w:w="60" w:type="dxa"/>
              <w:bottom w:w="45" w:type="dxa"/>
              <w:right w:w="60" w:type="dxa"/>
            </w:tcMar>
            <w:vAlign w:val="center"/>
          </w:tcPr>
          <w:p w14:paraId="6F82F18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5B977D5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4B957F1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3543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7D2F5FF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restart"/>
            <w:tcMar>
              <w:top w:w="45" w:type="dxa"/>
              <w:left w:w="60" w:type="dxa"/>
              <w:bottom w:w="45" w:type="dxa"/>
              <w:right w:w="60" w:type="dxa"/>
            </w:tcMar>
            <w:vAlign w:val="center"/>
          </w:tcPr>
          <w:p w14:paraId="5D3AE6A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信息公开与宣传</w:t>
            </w:r>
          </w:p>
        </w:tc>
        <w:tc>
          <w:tcPr>
            <w:tcW w:w="1456" w:type="dxa"/>
            <w:vMerge w:val="restart"/>
            <w:tcMar>
              <w:top w:w="45" w:type="dxa"/>
              <w:left w:w="60" w:type="dxa"/>
              <w:bottom w:w="45" w:type="dxa"/>
              <w:right w:w="60" w:type="dxa"/>
            </w:tcMar>
            <w:vAlign w:val="center"/>
          </w:tcPr>
          <w:p w14:paraId="21C901D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平台建设</w:t>
            </w:r>
          </w:p>
        </w:tc>
        <w:tc>
          <w:tcPr>
            <w:tcW w:w="560" w:type="dxa"/>
            <w:tcMar>
              <w:top w:w="45" w:type="dxa"/>
              <w:left w:w="20" w:type="dxa"/>
              <w:bottom w:w="45" w:type="dxa"/>
              <w:right w:w="20" w:type="dxa"/>
            </w:tcMar>
            <w:vAlign w:val="center"/>
          </w:tcPr>
          <w:p w14:paraId="4F8B2A2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368" w:type="dxa"/>
            <w:tcMar>
              <w:top w:w="45" w:type="dxa"/>
              <w:left w:w="60" w:type="dxa"/>
              <w:bottom w:w="45" w:type="dxa"/>
              <w:right w:w="60" w:type="dxa"/>
            </w:tcMar>
            <w:vAlign w:val="center"/>
          </w:tcPr>
          <w:p w14:paraId="0B956C1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1.建立信息公开管理制度或办法；(0.5分）</w:t>
            </w:r>
          </w:p>
          <w:p w14:paraId="1B7AD4C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2.公开内容真实合规，未出现应公开未公开、虚假公开等问题。（1分）</w:t>
            </w:r>
          </w:p>
        </w:tc>
        <w:tc>
          <w:tcPr>
            <w:tcW w:w="640" w:type="dxa"/>
            <w:tcMar>
              <w:top w:w="45" w:type="dxa"/>
              <w:left w:w="60" w:type="dxa"/>
              <w:bottom w:w="45" w:type="dxa"/>
              <w:right w:w="60" w:type="dxa"/>
            </w:tcMar>
            <w:vAlign w:val="center"/>
          </w:tcPr>
          <w:p w14:paraId="7BEDD4D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673C45C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03F6ADB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E48B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1775185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4A0F0A5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53DE9A5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7CF86B4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3506E7A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建有信息公开平台（包括但不限于微信公众号、视频号、官方网站、行业报刊、小程序等），平台具备信息发布、会员服务等功能，且正常更新运营。每建设并有效运营1个平台，得0.5分，本项最高1分。</w:t>
            </w:r>
          </w:p>
        </w:tc>
        <w:tc>
          <w:tcPr>
            <w:tcW w:w="640" w:type="dxa"/>
            <w:tcMar>
              <w:top w:w="45" w:type="dxa"/>
              <w:left w:w="60" w:type="dxa"/>
              <w:bottom w:w="45" w:type="dxa"/>
              <w:right w:w="60" w:type="dxa"/>
            </w:tcMar>
            <w:vAlign w:val="center"/>
          </w:tcPr>
          <w:p w14:paraId="4B4773A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2D16D29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54C38E6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871B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18D350D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1786E19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2348934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624E554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368" w:type="dxa"/>
            <w:tcMar>
              <w:top w:w="45" w:type="dxa"/>
              <w:left w:w="60" w:type="dxa"/>
              <w:bottom w:w="45" w:type="dxa"/>
              <w:right w:w="60" w:type="dxa"/>
            </w:tcMar>
            <w:vAlign w:val="center"/>
          </w:tcPr>
          <w:p w14:paraId="0F00462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建立新闻发言人制度，明确新闻发言人。</w:t>
            </w:r>
          </w:p>
        </w:tc>
        <w:tc>
          <w:tcPr>
            <w:tcW w:w="640" w:type="dxa"/>
            <w:tcMar>
              <w:top w:w="45" w:type="dxa"/>
              <w:left w:w="60" w:type="dxa"/>
              <w:bottom w:w="45" w:type="dxa"/>
              <w:right w:w="60" w:type="dxa"/>
            </w:tcMar>
            <w:vAlign w:val="center"/>
          </w:tcPr>
          <w:p w14:paraId="6CD2B73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5D4BC62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2E1F93C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32D4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5F96114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34872AB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restart"/>
            <w:tcMar>
              <w:top w:w="45" w:type="dxa"/>
              <w:left w:w="60" w:type="dxa"/>
              <w:bottom w:w="45" w:type="dxa"/>
              <w:right w:w="60" w:type="dxa"/>
            </w:tcMar>
            <w:vAlign w:val="center"/>
          </w:tcPr>
          <w:p w14:paraId="6059B91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公开内容</w:t>
            </w:r>
          </w:p>
        </w:tc>
        <w:tc>
          <w:tcPr>
            <w:tcW w:w="560" w:type="dxa"/>
            <w:tcMar>
              <w:top w:w="45" w:type="dxa"/>
              <w:left w:w="20" w:type="dxa"/>
              <w:bottom w:w="45" w:type="dxa"/>
              <w:right w:w="20" w:type="dxa"/>
            </w:tcMar>
            <w:vAlign w:val="center"/>
          </w:tcPr>
          <w:p w14:paraId="372A6FC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348AC9C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在自有平台或指定渠道公开本组织的基本信息，包括但不限于：登记事项、章程、组织机构、负责人信息、联系方式、办公地址等。</w:t>
            </w:r>
          </w:p>
        </w:tc>
        <w:tc>
          <w:tcPr>
            <w:tcW w:w="640" w:type="dxa"/>
            <w:tcMar>
              <w:top w:w="45" w:type="dxa"/>
              <w:left w:w="60" w:type="dxa"/>
              <w:bottom w:w="45" w:type="dxa"/>
              <w:right w:w="60" w:type="dxa"/>
            </w:tcMar>
            <w:vAlign w:val="center"/>
          </w:tcPr>
          <w:p w14:paraId="1472FE5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7806114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72F3337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FA0B3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2265CC9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16B8EAF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vMerge w:val="continue"/>
            <w:tcMar>
              <w:top w:w="45" w:type="dxa"/>
              <w:left w:w="60" w:type="dxa"/>
              <w:bottom w:w="45" w:type="dxa"/>
              <w:right w:w="60" w:type="dxa"/>
            </w:tcMar>
            <w:vAlign w:val="center"/>
          </w:tcPr>
          <w:p w14:paraId="08A610A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20" w:type="dxa"/>
              <w:bottom w:w="45" w:type="dxa"/>
              <w:right w:w="20" w:type="dxa"/>
            </w:tcMar>
            <w:vAlign w:val="center"/>
          </w:tcPr>
          <w:p w14:paraId="417EEB4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368" w:type="dxa"/>
            <w:tcMar>
              <w:top w:w="45" w:type="dxa"/>
              <w:left w:w="60" w:type="dxa"/>
              <w:bottom w:w="45" w:type="dxa"/>
              <w:right w:w="60" w:type="dxa"/>
            </w:tcMar>
            <w:vAlign w:val="center"/>
          </w:tcPr>
          <w:p w14:paraId="0729AE3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按规定公开年度工作报告、财务工作报告、收费信息（含会费标准、服务性收费标准等）等。</w:t>
            </w:r>
          </w:p>
        </w:tc>
        <w:tc>
          <w:tcPr>
            <w:tcW w:w="640" w:type="dxa"/>
            <w:tcMar>
              <w:top w:w="45" w:type="dxa"/>
              <w:left w:w="60" w:type="dxa"/>
              <w:bottom w:w="45" w:type="dxa"/>
              <w:right w:w="60" w:type="dxa"/>
            </w:tcMar>
            <w:vAlign w:val="center"/>
          </w:tcPr>
          <w:p w14:paraId="3FB7658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6D2BAFE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7C15AE5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8A92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restart"/>
            <w:tcMar>
              <w:top w:w="45" w:type="dxa"/>
              <w:left w:w="60" w:type="dxa"/>
              <w:bottom w:w="45" w:type="dxa"/>
              <w:right w:w="60" w:type="dxa"/>
            </w:tcMar>
            <w:vAlign w:val="center"/>
          </w:tcPr>
          <w:p w14:paraId="475748C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社会评价（8分）</w:t>
            </w:r>
          </w:p>
        </w:tc>
        <w:tc>
          <w:tcPr>
            <w:tcW w:w="1010" w:type="dxa"/>
            <w:vMerge w:val="restart"/>
            <w:tcMar>
              <w:top w:w="45" w:type="dxa"/>
              <w:left w:w="60" w:type="dxa"/>
              <w:bottom w:w="45" w:type="dxa"/>
              <w:right w:w="60" w:type="dxa"/>
            </w:tcMar>
            <w:vAlign w:val="center"/>
          </w:tcPr>
          <w:p w14:paraId="73B27F8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内部评价</w:t>
            </w:r>
          </w:p>
        </w:tc>
        <w:tc>
          <w:tcPr>
            <w:tcW w:w="1456" w:type="dxa"/>
            <w:tcMar>
              <w:top w:w="45" w:type="dxa"/>
              <w:left w:w="60" w:type="dxa"/>
              <w:bottom w:w="45" w:type="dxa"/>
              <w:right w:w="60" w:type="dxa"/>
            </w:tcMar>
            <w:vAlign w:val="center"/>
          </w:tcPr>
          <w:p w14:paraId="4FA7F15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会员评价</w:t>
            </w:r>
          </w:p>
        </w:tc>
        <w:tc>
          <w:tcPr>
            <w:tcW w:w="560" w:type="dxa"/>
            <w:tcMar>
              <w:top w:w="45" w:type="dxa"/>
              <w:left w:w="20" w:type="dxa"/>
              <w:bottom w:w="45" w:type="dxa"/>
              <w:right w:w="20" w:type="dxa"/>
            </w:tcMar>
            <w:vAlign w:val="center"/>
          </w:tcPr>
          <w:p w14:paraId="0EDDF95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4F86CFE4">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会员对服务质量的评价。</w:t>
            </w:r>
          </w:p>
          <w:p w14:paraId="660F00A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注：满意度达90%（含）以上得满分，达85%（含）至89%得0.5分，85%以下不得分。</w:t>
            </w:r>
          </w:p>
        </w:tc>
        <w:tc>
          <w:tcPr>
            <w:tcW w:w="640" w:type="dxa"/>
            <w:tcMar>
              <w:top w:w="45" w:type="dxa"/>
              <w:left w:w="60" w:type="dxa"/>
              <w:bottom w:w="45" w:type="dxa"/>
              <w:right w:w="60" w:type="dxa"/>
            </w:tcMar>
            <w:vAlign w:val="center"/>
          </w:tcPr>
          <w:p w14:paraId="43850F6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237B747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restart"/>
            <w:tcMar>
              <w:top w:w="45" w:type="dxa"/>
              <w:left w:w="60" w:type="dxa"/>
              <w:bottom w:w="45" w:type="dxa"/>
              <w:right w:w="60" w:type="dxa"/>
            </w:tcMar>
            <w:vAlign w:val="center"/>
          </w:tcPr>
          <w:p w14:paraId="22F14BA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由评估工作组（第三方评估机构）制定评价表，参评社会组织协助完成社会评价分值。</w:t>
            </w:r>
          </w:p>
        </w:tc>
      </w:tr>
      <w:tr w14:paraId="09E12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979" w:type="dxa"/>
            <w:vMerge w:val="continue"/>
            <w:tcMar>
              <w:top w:w="45" w:type="dxa"/>
              <w:left w:w="60" w:type="dxa"/>
              <w:bottom w:w="45" w:type="dxa"/>
              <w:right w:w="60" w:type="dxa"/>
            </w:tcMar>
            <w:vAlign w:val="center"/>
          </w:tcPr>
          <w:p w14:paraId="0DFD3A3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6B2E6DB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70F36FB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工作人员评价</w:t>
            </w:r>
          </w:p>
        </w:tc>
        <w:tc>
          <w:tcPr>
            <w:tcW w:w="560" w:type="dxa"/>
            <w:tcMar>
              <w:top w:w="45" w:type="dxa"/>
              <w:left w:w="20" w:type="dxa"/>
              <w:bottom w:w="45" w:type="dxa"/>
              <w:right w:w="20" w:type="dxa"/>
            </w:tcMar>
            <w:vAlign w:val="center"/>
          </w:tcPr>
          <w:p w14:paraId="0A81749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368" w:type="dxa"/>
            <w:tcMar>
              <w:top w:w="45" w:type="dxa"/>
              <w:left w:w="60" w:type="dxa"/>
              <w:bottom w:w="45" w:type="dxa"/>
              <w:right w:w="60" w:type="dxa"/>
            </w:tcMar>
            <w:vAlign w:val="center"/>
          </w:tcPr>
          <w:p w14:paraId="2FCEB475">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工作人员对管理状况、综合影响力的评价。</w:t>
            </w:r>
          </w:p>
          <w:p w14:paraId="6CD36F9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注：满意度达90%（含）以上得满分，达85%（含）至89%得0.5分，85%以下不得分。</w:t>
            </w:r>
          </w:p>
        </w:tc>
        <w:tc>
          <w:tcPr>
            <w:tcW w:w="640" w:type="dxa"/>
            <w:tcMar>
              <w:top w:w="45" w:type="dxa"/>
              <w:left w:w="60" w:type="dxa"/>
              <w:bottom w:w="45" w:type="dxa"/>
              <w:right w:w="60" w:type="dxa"/>
            </w:tcMar>
            <w:vAlign w:val="center"/>
          </w:tcPr>
          <w:p w14:paraId="5C26285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0E8675E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67A79CF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7C8E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979" w:type="dxa"/>
            <w:vMerge w:val="continue"/>
            <w:tcMar>
              <w:top w:w="45" w:type="dxa"/>
              <w:left w:w="60" w:type="dxa"/>
              <w:bottom w:w="45" w:type="dxa"/>
              <w:right w:w="60" w:type="dxa"/>
            </w:tcMar>
            <w:vAlign w:val="center"/>
          </w:tcPr>
          <w:p w14:paraId="1B9E0E3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restart"/>
            <w:tcMar>
              <w:top w:w="45" w:type="dxa"/>
              <w:left w:w="60" w:type="dxa"/>
              <w:bottom w:w="45" w:type="dxa"/>
              <w:right w:w="60" w:type="dxa"/>
            </w:tcMar>
            <w:vAlign w:val="center"/>
          </w:tcPr>
          <w:p w14:paraId="2643B0B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外部评价</w:t>
            </w:r>
          </w:p>
        </w:tc>
        <w:tc>
          <w:tcPr>
            <w:tcW w:w="1456" w:type="dxa"/>
            <w:tcMar>
              <w:top w:w="45" w:type="dxa"/>
              <w:left w:w="60" w:type="dxa"/>
              <w:bottom w:w="45" w:type="dxa"/>
              <w:right w:w="60" w:type="dxa"/>
            </w:tcMar>
            <w:vAlign w:val="center"/>
          </w:tcPr>
          <w:p w14:paraId="3535C60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登记管理机关</w:t>
            </w:r>
          </w:p>
        </w:tc>
        <w:tc>
          <w:tcPr>
            <w:tcW w:w="560" w:type="dxa"/>
            <w:tcMar>
              <w:top w:w="45" w:type="dxa"/>
              <w:left w:w="20" w:type="dxa"/>
              <w:bottom w:w="45" w:type="dxa"/>
              <w:right w:w="20" w:type="dxa"/>
            </w:tcMar>
            <w:vAlign w:val="center"/>
          </w:tcPr>
          <w:p w14:paraId="4A634B3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368" w:type="dxa"/>
            <w:tcMar>
              <w:top w:w="45" w:type="dxa"/>
              <w:left w:w="60" w:type="dxa"/>
              <w:bottom w:w="45" w:type="dxa"/>
              <w:right w:w="60" w:type="dxa"/>
            </w:tcMar>
            <w:vAlign w:val="center"/>
          </w:tcPr>
          <w:p w14:paraId="4A45595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登记管理机关对作用发挥情况、接受监督管理情况进行综合评价。</w:t>
            </w:r>
          </w:p>
        </w:tc>
        <w:tc>
          <w:tcPr>
            <w:tcW w:w="640" w:type="dxa"/>
            <w:tcMar>
              <w:top w:w="45" w:type="dxa"/>
              <w:left w:w="60" w:type="dxa"/>
              <w:bottom w:w="45" w:type="dxa"/>
              <w:right w:w="60" w:type="dxa"/>
            </w:tcMar>
            <w:vAlign w:val="center"/>
          </w:tcPr>
          <w:p w14:paraId="667436D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21FA568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58250F0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5A90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3" w:hRule="atLeast"/>
          <w:jc w:val="center"/>
        </w:trPr>
        <w:tc>
          <w:tcPr>
            <w:tcW w:w="979" w:type="dxa"/>
            <w:vMerge w:val="continue"/>
            <w:tcMar>
              <w:top w:w="45" w:type="dxa"/>
              <w:left w:w="60" w:type="dxa"/>
              <w:bottom w:w="45" w:type="dxa"/>
              <w:right w:w="60" w:type="dxa"/>
            </w:tcMar>
            <w:vAlign w:val="center"/>
          </w:tcPr>
          <w:p w14:paraId="7CB72AB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10" w:type="dxa"/>
            <w:vMerge w:val="continue"/>
            <w:tcMar>
              <w:top w:w="45" w:type="dxa"/>
              <w:left w:w="60" w:type="dxa"/>
              <w:bottom w:w="45" w:type="dxa"/>
              <w:right w:w="60" w:type="dxa"/>
            </w:tcMar>
            <w:vAlign w:val="center"/>
          </w:tcPr>
          <w:p w14:paraId="54CFBC0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456" w:type="dxa"/>
            <w:tcMar>
              <w:top w:w="45" w:type="dxa"/>
              <w:left w:w="60" w:type="dxa"/>
              <w:bottom w:w="45" w:type="dxa"/>
              <w:right w:w="60" w:type="dxa"/>
            </w:tcMar>
            <w:vAlign w:val="center"/>
          </w:tcPr>
          <w:p w14:paraId="19C8B4B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业务主管单位（党建工作机构）</w:t>
            </w:r>
          </w:p>
        </w:tc>
        <w:tc>
          <w:tcPr>
            <w:tcW w:w="560" w:type="dxa"/>
            <w:tcMar>
              <w:top w:w="45" w:type="dxa"/>
              <w:left w:w="20" w:type="dxa"/>
              <w:bottom w:w="45" w:type="dxa"/>
              <w:right w:w="20" w:type="dxa"/>
            </w:tcMar>
            <w:vAlign w:val="center"/>
          </w:tcPr>
          <w:p w14:paraId="6EA0673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368" w:type="dxa"/>
            <w:tcMar>
              <w:top w:w="45" w:type="dxa"/>
              <w:left w:w="60" w:type="dxa"/>
              <w:bottom w:w="45" w:type="dxa"/>
              <w:right w:w="60" w:type="dxa"/>
            </w:tcMar>
            <w:vAlign w:val="center"/>
          </w:tcPr>
          <w:p w14:paraId="0C7D9750">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业务主管单位对作用发挥情况、接受监督管理情况进行综合评价。</w:t>
            </w:r>
          </w:p>
          <w:p w14:paraId="6B56342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注：无业务主管单位的，由党建工作机构评价。</w:t>
            </w:r>
          </w:p>
        </w:tc>
        <w:tc>
          <w:tcPr>
            <w:tcW w:w="640" w:type="dxa"/>
            <w:tcMar>
              <w:top w:w="45" w:type="dxa"/>
              <w:left w:w="60" w:type="dxa"/>
              <w:bottom w:w="45" w:type="dxa"/>
              <w:right w:w="60" w:type="dxa"/>
            </w:tcMar>
            <w:vAlign w:val="center"/>
          </w:tcPr>
          <w:p w14:paraId="2120C54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024E3B6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vMerge w:val="continue"/>
            <w:tcMar>
              <w:top w:w="45" w:type="dxa"/>
              <w:left w:w="60" w:type="dxa"/>
              <w:bottom w:w="45" w:type="dxa"/>
              <w:right w:w="60" w:type="dxa"/>
            </w:tcMar>
            <w:vAlign w:val="center"/>
          </w:tcPr>
          <w:p w14:paraId="122D7D3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D626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80" w:hRule="atLeast"/>
          <w:jc w:val="center"/>
        </w:trPr>
        <w:tc>
          <w:tcPr>
            <w:tcW w:w="3445" w:type="dxa"/>
            <w:gridSpan w:val="3"/>
            <w:tcMar>
              <w:top w:w="45" w:type="dxa"/>
              <w:left w:w="60" w:type="dxa"/>
              <w:bottom w:w="45" w:type="dxa"/>
              <w:right w:w="60" w:type="dxa"/>
            </w:tcMar>
            <w:vAlign w:val="center"/>
          </w:tcPr>
          <w:p w14:paraId="3753581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分值合计</w:t>
            </w:r>
          </w:p>
        </w:tc>
        <w:tc>
          <w:tcPr>
            <w:tcW w:w="560" w:type="dxa"/>
            <w:tcMar>
              <w:top w:w="45" w:type="dxa"/>
              <w:left w:w="20" w:type="dxa"/>
              <w:bottom w:w="45" w:type="dxa"/>
              <w:right w:w="20" w:type="dxa"/>
            </w:tcMar>
            <w:vAlign w:val="center"/>
          </w:tcPr>
          <w:p w14:paraId="018765B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100</w:t>
            </w:r>
          </w:p>
        </w:tc>
        <w:tc>
          <w:tcPr>
            <w:tcW w:w="6368" w:type="dxa"/>
            <w:tcMar>
              <w:top w:w="45" w:type="dxa"/>
              <w:left w:w="60" w:type="dxa"/>
              <w:bottom w:w="45" w:type="dxa"/>
              <w:right w:w="60" w:type="dxa"/>
            </w:tcMar>
            <w:vAlign w:val="center"/>
          </w:tcPr>
          <w:p w14:paraId="2DD657D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c>
          <w:tcPr>
            <w:tcW w:w="640" w:type="dxa"/>
            <w:tcMar>
              <w:top w:w="45" w:type="dxa"/>
              <w:left w:w="60" w:type="dxa"/>
              <w:bottom w:w="45" w:type="dxa"/>
              <w:right w:w="60" w:type="dxa"/>
            </w:tcMar>
            <w:vAlign w:val="center"/>
          </w:tcPr>
          <w:p w14:paraId="53DED1F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60" w:type="dxa"/>
            <w:tcMar>
              <w:top w:w="45" w:type="dxa"/>
              <w:left w:w="60" w:type="dxa"/>
              <w:bottom w:w="45" w:type="dxa"/>
              <w:right w:w="60" w:type="dxa"/>
            </w:tcMar>
            <w:vAlign w:val="center"/>
          </w:tcPr>
          <w:p w14:paraId="648B7DC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965" w:type="dxa"/>
            <w:tcMar>
              <w:top w:w="45" w:type="dxa"/>
              <w:left w:w="60" w:type="dxa"/>
              <w:bottom w:w="45" w:type="dxa"/>
              <w:right w:w="60" w:type="dxa"/>
            </w:tcMar>
            <w:vAlign w:val="center"/>
          </w:tcPr>
          <w:p w14:paraId="0A503A8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B9AD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0" w:hRule="atLeast"/>
          <w:jc w:val="center"/>
        </w:trPr>
        <w:tc>
          <w:tcPr>
            <w:tcW w:w="14538" w:type="dxa"/>
            <w:gridSpan w:val="8"/>
            <w:tcMar>
              <w:top w:w="45" w:type="dxa"/>
              <w:left w:w="60" w:type="dxa"/>
              <w:bottom w:w="45" w:type="dxa"/>
              <w:right w:w="60" w:type="dxa"/>
            </w:tcMar>
            <w:vAlign w:val="center"/>
          </w:tcPr>
          <w:p w14:paraId="2F1EED2B">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特别说明：1.未成立党组织，不予评为4A级（含）以上等级；2.社会组织出现负面舆情的，不予评定为4A级（含）以上等级；发生重大舆情的，不予参与等级评估；3.基础条件得分未达90%（含）以上不予评为5A等级，未达80%（含）以上不予评为4A等级，未达70%（含）以上不予评为3A等级；4.负责人包括：会长（理事长）、副会长（副理事长）、秘书长；5.社会组织评估总分为100分。根据评估得分划分为5个等级，由高至低依次为：评估得分在90分（含）及以上的为5A等级（AAAAA）；80分（含）至89分为4A等级（AAAA）；60分（含）至79分为3A等级（AAA）；50分（含）至59分为2A等级（AA）；30分（含）至49分为1A等级（A），29分（含）以下为无等级。</w:t>
            </w:r>
          </w:p>
          <w:p w14:paraId="4087D9F4">
            <w:pPr>
              <w:keepNext w:val="0"/>
              <w:keepLines w:val="0"/>
              <w:widowControl w:val="0"/>
              <w:tabs>
                <w:tab w:val="left" w:pos="1890"/>
              </w:tabs>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备注：1.以上材料除实地查看的原件外，均只需提供复印件；2.评估内容涉及的时间范围为评估文件规定的两年度</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tc>
      </w:tr>
    </w:tbl>
    <w:p w14:paraId="3857682E">
      <w:pPr>
        <w:keepNext w:val="0"/>
        <w:keepLines w:val="0"/>
        <w:widowControl w:val="0"/>
        <w:kinsoku/>
        <w:wordWrap/>
        <w:overflowPunct/>
        <w:autoSpaceDE w:val="0"/>
        <w:autoSpaceDN w:val="0"/>
        <w:snapToGrid w:val="0"/>
        <w:spacing w:before="0" w:after="0" w:line="20" w:lineRule="exact"/>
        <w:ind w:left="0" w:right="0" w:firstLine="0"/>
        <w:jc w:val="left"/>
        <w:rPr>
          <w:color w:val="000000" w:themeColor="text1"/>
          <w:u w:val="none"/>
          <w14:textFill>
            <w14:solidFill>
              <w14:schemeClr w14:val="tx1"/>
            </w14:solidFill>
          </w14:textFill>
        </w:rPr>
      </w:pPr>
    </w:p>
    <w:sectPr>
      <w:headerReference r:id="rId5" w:type="first"/>
      <w:footerReference r:id="rId8" w:type="first"/>
      <w:headerReference r:id="rId3" w:type="default"/>
      <w:footerReference r:id="rId6" w:type="default"/>
      <w:headerReference r:id="rId4" w:type="even"/>
      <w:footerReference r:id="rId7" w:type="even"/>
      <w:pgSz w:w="16838" w:h="11906" w:orient="landscape"/>
      <w:pgMar w:top="1379" w:right="1100" w:bottom="1379" w:left="1200" w:header="400" w:footer="50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D2EB8">
    <w:pPr>
      <w:keepNext w:val="0"/>
      <w:keepLines w:val="0"/>
      <w:widowControl w:val="0"/>
      <w:kinsoku/>
      <w:wordWrap/>
      <w:overflowPunct/>
      <w:autoSpaceDE w:val="0"/>
      <w:autoSpaceDN w:val="0"/>
      <w:snapToGrid w:val="0"/>
      <w:spacing w:before="0" w:after="0" w:line="270" w:lineRule="exact"/>
      <w:ind w:left="0" w:right="0" w:firstLine="0"/>
      <w:jc w:val="center"/>
    </w:pPr>
    <w:r>
      <w:rPr>
        <w:rFonts w:ascii="仿宋" w:hAnsi="仿宋" w:eastAsia="仿宋" w:cs="仿宋"/>
        <w:b w:val="0"/>
        <w:bCs w:val="0"/>
        <w:i w:val="0"/>
        <w:color w:val="000000"/>
        <w:spacing w:val="0"/>
        <w:w w:val="100"/>
        <w:position w:val="0"/>
        <w:sz w:val="21"/>
        <w:szCs w:val="21"/>
        <w:u w:val="none"/>
        <w:lang w:val="en-US"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4272ACB4">
                          <w:pPr>
                            <w:jc w:val="right"/>
                          </w:pPr>
                          <w:r>
                            <w:rPr>
                              <w:rFonts w:ascii="仿宋" w:hAnsi="仿宋" w:eastAsia="仿宋"/>
                            </w:rPr>
                            <w:t>—</w:t>
                          </w:r>
                          <w:r>
                            <w:fldChar w:fldCharType="begin"/>
                          </w:r>
                          <w:r>
                            <w:instrText xml:space="preserve"> PAGE </w:instrText>
                          </w:r>
                          <w:r>
                            <w:fldChar w:fldCharType="separate"/>
                          </w:r>
                          <w:r>
                            <w:rPr>
                              <w:rFonts w:ascii="仿宋" w:hAnsi="仿宋" w:eastAsia="仿宋"/>
                            </w:rPr>
                            <w:t>1</w:t>
                          </w:r>
                          <w:r>
                            <w:rPr>
                              <w:rFonts w:ascii="仿宋" w:hAnsi="仿宋" w:eastAsia="仿宋"/>
                            </w:rPr>
                            <w:fldChar w:fldCharType="end"/>
                          </w:r>
                          <w:r>
                            <w:rPr>
                              <w:rFonts w:ascii="仿宋" w:hAnsi="仿宋" w:eastAsia="仿宋"/>
                            </w:rPr>
                            <w:t>—</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OqXm5zwAAAAUBAAAP&#10;AAAAAAAAAAEAIAAAACIAAABkcnMvZG93bnJldi54bWxQSwECFAAUAAAACACHTuJAEl7AVegBAADJ&#10;AwAADgAAAAAAAAABACAAAAAeAQAAZHJzL2Uyb0RvYy54bWxQSwUGAAAAAAYABgBZAQAAeAUAAAAA&#10;">
              <v:fill on="f" focussize="0,0"/>
              <v:stroke on="f"/>
              <v:imagedata o:title=""/>
              <o:lock v:ext="edit" aspectratio="f"/>
              <v:textbox inset="0mm,0mm,0mm,0mm" style="mso-fit-shape-to-text:t;">
                <w:txbxContent>
                  <w:p w14:paraId="4272ACB4">
                    <w:pPr>
                      <w:jc w:val="right"/>
                    </w:pPr>
                    <w:r>
                      <w:rPr>
                        <w:rFonts w:ascii="仿宋" w:hAnsi="仿宋" w:eastAsia="仿宋"/>
                      </w:rPr>
                      <w:t>—</w:t>
                    </w:r>
                    <w:r>
                      <w:fldChar w:fldCharType="begin"/>
                    </w:r>
                    <w:r>
                      <w:instrText xml:space="preserve"> PAGE </w:instrText>
                    </w:r>
                    <w:r>
                      <w:fldChar w:fldCharType="separate"/>
                    </w:r>
                    <w:r>
                      <w:rPr>
                        <w:rFonts w:ascii="仿宋" w:hAnsi="仿宋" w:eastAsia="仿宋"/>
                      </w:rPr>
                      <w:t>1</w:t>
                    </w:r>
                    <w:r>
                      <w:rPr>
                        <w:rFonts w:ascii="仿宋" w:hAnsi="仿宋" w:eastAsia="仿宋"/>
                      </w:rPr>
                      <w:fldChar w:fldCharType="end"/>
                    </w:r>
                    <w:r>
                      <w:rPr>
                        <w:rFonts w:ascii="仿宋" w:hAnsi="仿宋" w:eastAsia="仿宋"/>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5BAA8">
    <w:r>
      <w:rPr>
        <w:rFonts w:ascii="仿宋" w:hAnsi="仿宋" w:eastAsia="仿宋"/>
      </w:rPr>
      <w:t>—</w:t>
    </w:r>
    <w:r>
      <w:fldChar w:fldCharType="begin"/>
    </w:r>
    <w:r>
      <w:instrText xml:space="preserve"> PAGE </w:instrText>
    </w:r>
    <w:r>
      <w:fldChar w:fldCharType="separate"/>
    </w:r>
    <w:r>
      <w:rPr>
        <w:rFonts w:ascii="仿宋" w:hAnsi="仿宋" w:eastAsia="仿宋"/>
      </w:rPr>
      <w:t>1</w:t>
    </w:r>
    <w:r>
      <w:rPr>
        <w:rFonts w:ascii="仿宋" w:hAnsi="仿宋" w:eastAsia="仿宋"/>
      </w:rPr>
      <w:fldChar w:fldCharType="end"/>
    </w:r>
    <w:r>
      <w:rPr>
        <w:rFonts w:ascii="仿宋" w:hAnsi="仿宋" w:eastAsia="仿宋"/>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DB661">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19F63">
    <w:pPr>
      <w:keepNext w:val="0"/>
      <w:keepLines w:val="0"/>
      <w:widowControl w:val="0"/>
      <w:kinsoku/>
      <w:wordWrap/>
      <w:overflowPunct/>
      <w:autoSpaceDE w:val="0"/>
      <w:autoSpaceDN w:val="0"/>
      <w:snapToGrid w:val="0"/>
      <w:spacing w:before="0" w:after="0" w:line="270" w:lineRule="exact"/>
      <w:ind w:left="0" w:right="0" w:firstLine="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C2261">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07EF7">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FDC"/>
    <w:rsid w:val="000D22FD"/>
    <w:rsid w:val="00101EC5"/>
    <w:rsid w:val="00233BB9"/>
    <w:rsid w:val="00451FE0"/>
    <w:rsid w:val="005B4FDC"/>
    <w:rsid w:val="00B37C45"/>
    <w:rsid w:val="014C4DA3"/>
    <w:rsid w:val="015D0021"/>
    <w:rsid w:val="021F54B6"/>
    <w:rsid w:val="02577B3C"/>
    <w:rsid w:val="02F82148"/>
    <w:rsid w:val="05235E1B"/>
    <w:rsid w:val="06C5268C"/>
    <w:rsid w:val="07071742"/>
    <w:rsid w:val="0865674A"/>
    <w:rsid w:val="08B17BE1"/>
    <w:rsid w:val="08E65ADD"/>
    <w:rsid w:val="09657EEF"/>
    <w:rsid w:val="09E358A2"/>
    <w:rsid w:val="0AD1737F"/>
    <w:rsid w:val="0C0F534B"/>
    <w:rsid w:val="0CAC7FF5"/>
    <w:rsid w:val="0E153822"/>
    <w:rsid w:val="0E945421"/>
    <w:rsid w:val="0EDC0DC3"/>
    <w:rsid w:val="0EDC189F"/>
    <w:rsid w:val="10723167"/>
    <w:rsid w:val="11AE5CBE"/>
    <w:rsid w:val="12D7725E"/>
    <w:rsid w:val="1428488A"/>
    <w:rsid w:val="16122888"/>
    <w:rsid w:val="16300397"/>
    <w:rsid w:val="170340F2"/>
    <w:rsid w:val="175C5437"/>
    <w:rsid w:val="17A560C8"/>
    <w:rsid w:val="180D79FC"/>
    <w:rsid w:val="1A1F0E4F"/>
    <w:rsid w:val="1D461625"/>
    <w:rsid w:val="1D753B1E"/>
    <w:rsid w:val="1DD12460"/>
    <w:rsid w:val="1E607030"/>
    <w:rsid w:val="1F152C7D"/>
    <w:rsid w:val="204D1B46"/>
    <w:rsid w:val="21215B8F"/>
    <w:rsid w:val="21FA5CFD"/>
    <w:rsid w:val="22236BE9"/>
    <w:rsid w:val="25010D23"/>
    <w:rsid w:val="25F07516"/>
    <w:rsid w:val="27156F2D"/>
    <w:rsid w:val="28A644E9"/>
    <w:rsid w:val="2A8300DE"/>
    <w:rsid w:val="2BB1742D"/>
    <w:rsid w:val="2DED7FEE"/>
    <w:rsid w:val="2DF52122"/>
    <w:rsid w:val="31F30C91"/>
    <w:rsid w:val="33835B53"/>
    <w:rsid w:val="34636D8D"/>
    <w:rsid w:val="34E65662"/>
    <w:rsid w:val="369D104E"/>
    <w:rsid w:val="36AF64E0"/>
    <w:rsid w:val="37047B04"/>
    <w:rsid w:val="37113475"/>
    <w:rsid w:val="371D2C0A"/>
    <w:rsid w:val="37503F9E"/>
    <w:rsid w:val="38182E95"/>
    <w:rsid w:val="388760E5"/>
    <w:rsid w:val="3A9202A3"/>
    <w:rsid w:val="3C737027"/>
    <w:rsid w:val="3E012496"/>
    <w:rsid w:val="3E867C6A"/>
    <w:rsid w:val="3F3A65AB"/>
    <w:rsid w:val="402B4632"/>
    <w:rsid w:val="42A8601D"/>
    <w:rsid w:val="43D12226"/>
    <w:rsid w:val="4473751E"/>
    <w:rsid w:val="45FD2895"/>
    <w:rsid w:val="462211FB"/>
    <w:rsid w:val="46A460B4"/>
    <w:rsid w:val="472E28E8"/>
    <w:rsid w:val="48563697"/>
    <w:rsid w:val="4AEE2AF4"/>
    <w:rsid w:val="4AFF074A"/>
    <w:rsid w:val="4BDC009E"/>
    <w:rsid w:val="4C2A2180"/>
    <w:rsid w:val="4E0D453F"/>
    <w:rsid w:val="4F5A6FB0"/>
    <w:rsid w:val="50BD5DE5"/>
    <w:rsid w:val="522400A9"/>
    <w:rsid w:val="5B8D4116"/>
    <w:rsid w:val="5C2B5179"/>
    <w:rsid w:val="5CAA0BA3"/>
    <w:rsid w:val="5CCA2F43"/>
    <w:rsid w:val="5DDF66D6"/>
    <w:rsid w:val="5E290C38"/>
    <w:rsid w:val="5EA9161B"/>
    <w:rsid w:val="5EE22D1C"/>
    <w:rsid w:val="5F5D7503"/>
    <w:rsid w:val="5FC24021"/>
    <w:rsid w:val="600D03CE"/>
    <w:rsid w:val="602305BD"/>
    <w:rsid w:val="624520A2"/>
    <w:rsid w:val="63D74F7B"/>
    <w:rsid w:val="640115C4"/>
    <w:rsid w:val="663A018B"/>
    <w:rsid w:val="6723497B"/>
    <w:rsid w:val="67AF27BE"/>
    <w:rsid w:val="6861446E"/>
    <w:rsid w:val="69977521"/>
    <w:rsid w:val="69CE6377"/>
    <w:rsid w:val="6AED7901"/>
    <w:rsid w:val="6BFB6B83"/>
    <w:rsid w:val="6BFDCF74"/>
    <w:rsid w:val="6DEF4BBA"/>
    <w:rsid w:val="6E32564D"/>
    <w:rsid w:val="6ECC4A08"/>
    <w:rsid w:val="70685D73"/>
    <w:rsid w:val="70EB02B9"/>
    <w:rsid w:val="72273726"/>
    <w:rsid w:val="72F81D7F"/>
    <w:rsid w:val="73001473"/>
    <w:rsid w:val="730B2E93"/>
    <w:rsid w:val="74254785"/>
    <w:rsid w:val="74F62859"/>
    <w:rsid w:val="750816AC"/>
    <w:rsid w:val="753A7A60"/>
    <w:rsid w:val="75483314"/>
    <w:rsid w:val="759C6025"/>
    <w:rsid w:val="766823AB"/>
    <w:rsid w:val="779F1DFC"/>
    <w:rsid w:val="78667CE4"/>
    <w:rsid w:val="7D1D3217"/>
    <w:rsid w:val="7D245D5F"/>
    <w:rsid w:val="7EE51F67"/>
    <w:rsid w:val="7F1610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autoSpaceDE w:val="0"/>
      <w:autoSpaceDN w:val="0"/>
      <w:adjustRightInd w:val="0"/>
      <w:snapToGrid w:val="0"/>
      <w:textAlignment w:val="baseline"/>
    </w:pPr>
    <w:rPr>
      <w:rFonts w:ascii="仿宋" w:hAnsi="仿宋" w:eastAsia="仿宋" w:cs="仿宋"/>
      <w:snapToGrid w:val="0"/>
      <w:color w:val="000000"/>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rFonts w:ascii="仿宋_GB2312" w:hAnsi="仿宋_GB2312" w:eastAsia="仿宋_GB2312" w:cs="仿宋_GB2312"/>
      <w:color w:val="000000"/>
      <w:sz w:val="31"/>
      <w:szCs w:val="31"/>
    </w:rPr>
  </w:style>
  <w:style w:type="paragraph" w:styleId="3">
    <w:name w:val="footer"/>
    <w:basedOn w:val="1"/>
    <w:link w:val="15"/>
    <w:qFormat/>
    <w:uiPriority w:val="0"/>
    <w:pPr>
      <w:tabs>
        <w:tab w:val="center" w:pos="4153"/>
        <w:tab w:val="right" w:pos="8306"/>
      </w:tabs>
      <w:kinsoku/>
    </w:pPr>
    <w:rPr>
      <w:rFonts w:ascii="仿宋" w:hAnsi="仿宋" w:eastAsia="仿宋" w:cs="仿宋"/>
      <w:color w:val="000000"/>
      <w:sz w:val="21"/>
      <w:szCs w:val="18"/>
      <w:lang w:val="en-US" w:eastAsia="zh-CN"/>
    </w:rPr>
  </w:style>
  <w:style w:type="paragraph" w:styleId="4">
    <w:name w:val="header"/>
    <w:basedOn w:val="1"/>
    <w:link w:val="14"/>
    <w:qFormat/>
    <w:uiPriority w:val="0"/>
    <w:pPr>
      <w:tabs>
        <w:tab w:val="center" w:pos="4153"/>
        <w:tab w:val="right" w:pos="8306"/>
      </w:tabs>
      <w:kinsoku/>
      <w:jc w:val="center"/>
    </w:pPr>
    <w:rPr>
      <w:rFonts w:ascii="仿宋" w:hAnsi="仿宋" w:eastAsia="仿宋" w:cs="仿宋"/>
      <w:color w:val="000000"/>
      <w:sz w:val="21"/>
      <w:szCs w:val="18"/>
      <w:lang w:val="en-US" w:eastAsia="zh-CN"/>
    </w:rPr>
  </w:style>
  <w:style w:type="paragraph" w:customStyle="1" w:styleId="7">
    <w:name w:val="Table Text"/>
    <w:basedOn w:val="1"/>
    <w:semiHidden/>
    <w:qFormat/>
    <w:uiPriority w:val="0"/>
    <w:rPr>
      <w:rFonts w:ascii="仿宋_GB2312" w:hAnsi="仿宋_GB2312" w:eastAsia="仿宋_GB2312" w:cs="仿宋_GB2312"/>
      <w:sz w:val="20"/>
      <w:szCs w:val="20"/>
    </w:rPr>
  </w:style>
  <w:style w:type="table" w:customStyle="1" w:styleId="8">
    <w:name w:val="Table Normal"/>
    <w:unhideWhenUsed/>
    <w:qFormat/>
    <w:uiPriority w:val="0"/>
    <w:tblPr>
      <w:tblCellMar>
        <w:top w:w="0" w:type="dxa"/>
        <w:left w:w="0" w:type="dxa"/>
        <w:bottom w:w="0" w:type="dxa"/>
        <w:right w:w="0" w:type="dxa"/>
      </w:tblCellMar>
    </w:tblPr>
  </w:style>
  <w:style w:type="character" w:customStyle="1" w:styleId="9">
    <w:name w:val="font51"/>
    <w:basedOn w:val="6"/>
    <w:qFormat/>
    <w:uiPriority w:val="0"/>
    <w:rPr>
      <w:rFonts w:hint="eastAsia" w:ascii="仿宋" w:hAnsi="仿宋" w:eastAsia="仿宋" w:cs="仿宋"/>
      <w:b/>
      <w:bCs/>
      <w:color w:val="FF0000"/>
      <w:sz w:val="20"/>
      <w:szCs w:val="20"/>
      <w:u w:val="single"/>
    </w:rPr>
  </w:style>
  <w:style w:type="character" w:customStyle="1" w:styleId="10">
    <w:name w:val="font11"/>
    <w:basedOn w:val="6"/>
    <w:qFormat/>
    <w:uiPriority w:val="0"/>
    <w:rPr>
      <w:rFonts w:hint="eastAsia" w:ascii="仿宋" w:hAnsi="仿宋" w:eastAsia="仿宋" w:cs="仿宋"/>
      <w:color w:val="000000"/>
      <w:sz w:val="20"/>
      <w:szCs w:val="20"/>
      <w:u w:val="none"/>
    </w:rPr>
  </w:style>
  <w:style w:type="character" w:customStyle="1" w:styleId="11">
    <w:name w:val="font21"/>
    <w:basedOn w:val="6"/>
    <w:qFormat/>
    <w:uiPriority w:val="0"/>
    <w:rPr>
      <w:rFonts w:hint="eastAsia" w:ascii="仿宋" w:hAnsi="仿宋" w:eastAsia="仿宋" w:cs="仿宋"/>
      <w:color w:val="000000"/>
      <w:sz w:val="20"/>
      <w:szCs w:val="20"/>
      <w:u w:val="none"/>
    </w:rPr>
  </w:style>
  <w:style w:type="character" w:customStyle="1" w:styleId="12">
    <w:name w:val="font31"/>
    <w:basedOn w:val="6"/>
    <w:qFormat/>
    <w:uiPriority w:val="0"/>
    <w:rPr>
      <w:rFonts w:hint="eastAsia" w:ascii="仿宋" w:hAnsi="仿宋" w:eastAsia="仿宋" w:cs="仿宋"/>
      <w:color w:val="FF0000"/>
      <w:sz w:val="20"/>
      <w:szCs w:val="20"/>
      <w:u w:val="single"/>
    </w:rPr>
  </w:style>
  <w:style w:type="character" w:customStyle="1" w:styleId="13">
    <w:name w:val="font41"/>
    <w:basedOn w:val="6"/>
    <w:qFormat/>
    <w:uiPriority w:val="0"/>
    <w:rPr>
      <w:rFonts w:hint="eastAsia" w:ascii="仿宋" w:hAnsi="仿宋" w:eastAsia="仿宋" w:cs="仿宋"/>
      <w:color w:val="000000"/>
      <w:sz w:val="20"/>
      <w:szCs w:val="20"/>
      <w:u w:val="single"/>
    </w:rPr>
  </w:style>
  <w:style w:type="character" w:customStyle="1" w:styleId="14">
    <w:name w:val="页眉 字符"/>
    <w:basedOn w:val="6"/>
    <w:link w:val="4"/>
    <w:qFormat/>
    <w:uiPriority w:val="0"/>
    <w:rPr>
      <w:rFonts w:ascii="Arial" w:hAnsi="Arial" w:eastAsia="Arial" w:cs="Arial"/>
      <w:snapToGrid w:val="0"/>
      <w:color w:val="000000"/>
      <w:sz w:val="18"/>
      <w:szCs w:val="18"/>
      <w:lang w:eastAsia="en-US"/>
    </w:rPr>
  </w:style>
  <w:style w:type="character" w:customStyle="1" w:styleId="15">
    <w:name w:val="页脚 字符"/>
    <w:basedOn w:val="6"/>
    <w:link w:val="3"/>
    <w:qFormat/>
    <w:uiPriority w:val="0"/>
    <w:rPr>
      <w:rFonts w:ascii="Arial" w:hAnsi="Arial" w:eastAsia="Arial" w:cs="Arial"/>
      <w:snapToGrid w:val="0"/>
      <w:color w:val="000000"/>
      <w:sz w:val="18"/>
      <w:szCs w:val="18"/>
      <w:lang w:eastAsia="en-US"/>
    </w:rPr>
  </w:style>
  <w:style w:type="paragraph" w:customStyle="1" w:styleId="16">
    <w:name w:val="EvalCell"/>
    <w:qFormat/>
    <w:uiPriority w:val="0"/>
    <w:pPr>
      <w:widowControl w:val="0"/>
      <w:spacing w:line="260" w:lineRule="exact"/>
    </w:pPr>
    <w:rPr>
      <w:rFonts w:ascii="仿宋" w:hAnsi="仿宋" w:eastAsia="宋体" w:cs="Times New Roman"/>
      <w:sz w:val="21"/>
      <w:lang w:val="en-US" w:eastAsia="zh-CN" w:bidi="ar-SA"/>
    </w:rPr>
  </w:style>
  <w:style w:type="paragraph" w:customStyle="1" w:styleId="17">
    <w:name w:val="A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8">
    <w:name w:val="A_material_Default Paragraph Font"/>
    <w:semiHidden/>
    <w:qFormat/>
    <w:uiPriority w:val="0"/>
    <w:rPr>
      <w:rFonts w:ascii="Calibri" w:hAnsi="Calibri" w:eastAsia="宋体" w:cs="Times New Roman"/>
    </w:rPr>
  </w:style>
  <w:style w:type="table" w:customStyle="1" w:styleId="19">
    <w:name w:val="A_material_Normal Table"/>
    <w:semiHidden/>
    <w:qFormat/>
    <w:uiPriority w:val="0"/>
    <w:tblPr>
      <w:tblCellMar>
        <w:top w:w="0" w:type="dxa"/>
        <w:left w:w="108" w:type="dxa"/>
        <w:bottom w:w="0" w:type="dxa"/>
        <w:right w:w="108" w:type="dxa"/>
      </w:tblCellMar>
    </w:tblPr>
  </w:style>
  <w:style w:type="paragraph" w:customStyle="1" w:styleId="20">
    <w:name w:val="A_material_Table Text"/>
    <w:basedOn w:val="17"/>
    <w:semiHidden/>
    <w:qFormat/>
    <w:uiPriority w:val="0"/>
    <w:rPr>
      <w:rFonts w:ascii="仿宋_GB2312" w:hAnsi="仿宋_GB2312" w:eastAsia="仿宋_GB2312" w:cs="仿宋_GB2312"/>
      <w:sz w:val="20"/>
      <w:szCs w:val="20"/>
    </w:rPr>
  </w:style>
  <w:style w:type="table" w:customStyle="1" w:styleId="21">
    <w:name w:val="A_material_Table Normal"/>
    <w:unhideWhenUsed/>
    <w:qFormat/>
    <w:uiPriority w:val="0"/>
    <w:tblPr>
      <w:tblCellMar>
        <w:top w:w="0" w:type="dxa"/>
        <w:left w:w="0" w:type="dxa"/>
        <w:bottom w:w="0" w:type="dxa"/>
        <w:right w:w="0" w:type="dxa"/>
      </w:tblCellMar>
    </w:tblPr>
  </w:style>
  <w:style w:type="character" w:customStyle="1" w:styleId="22">
    <w:name w:val="A_material_font51"/>
    <w:basedOn w:val="18"/>
    <w:qFormat/>
    <w:uiPriority w:val="0"/>
    <w:rPr>
      <w:rFonts w:hint="eastAsia" w:ascii="仿宋" w:hAnsi="仿宋" w:eastAsia="仿宋" w:cs="仿宋"/>
      <w:b/>
      <w:bCs/>
      <w:color w:val="FF0000"/>
      <w:sz w:val="20"/>
      <w:szCs w:val="20"/>
      <w:u w:val="single"/>
    </w:rPr>
  </w:style>
  <w:style w:type="character" w:customStyle="1" w:styleId="23">
    <w:name w:val="A_material_font11"/>
    <w:basedOn w:val="18"/>
    <w:qFormat/>
    <w:uiPriority w:val="0"/>
    <w:rPr>
      <w:rFonts w:hint="eastAsia" w:ascii="仿宋" w:hAnsi="仿宋" w:eastAsia="仿宋" w:cs="仿宋"/>
      <w:color w:val="000000"/>
      <w:sz w:val="20"/>
      <w:szCs w:val="20"/>
      <w:u w:val="none"/>
    </w:rPr>
  </w:style>
  <w:style w:type="character" w:customStyle="1" w:styleId="24">
    <w:name w:val="A_material_font21"/>
    <w:basedOn w:val="18"/>
    <w:qFormat/>
    <w:uiPriority w:val="0"/>
    <w:rPr>
      <w:rFonts w:hint="eastAsia" w:ascii="仿宋" w:hAnsi="仿宋" w:eastAsia="仿宋" w:cs="仿宋"/>
      <w:color w:val="000000"/>
      <w:sz w:val="20"/>
      <w:szCs w:val="20"/>
      <w:u w:val="none"/>
    </w:rPr>
  </w:style>
  <w:style w:type="character" w:customStyle="1" w:styleId="25">
    <w:name w:val="A_material_font31"/>
    <w:basedOn w:val="18"/>
    <w:qFormat/>
    <w:uiPriority w:val="0"/>
    <w:rPr>
      <w:rFonts w:hint="eastAsia" w:ascii="仿宋" w:hAnsi="仿宋" w:eastAsia="仿宋" w:cs="仿宋"/>
      <w:color w:val="FF0000"/>
      <w:sz w:val="20"/>
      <w:szCs w:val="20"/>
      <w:u w:val="single"/>
    </w:rPr>
  </w:style>
  <w:style w:type="character" w:customStyle="1" w:styleId="26">
    <w:name w:val="A_material_font41"/>
    <w:basedOn w:val="18"/>
    <w:qFormat/>
    <w:uiPriority w:val="0"/>
    <w:rPr>
      <w:rFonts w:hint="eastAsia" w:ascii="仿宋" w:hAnsi="仿宋" w:eastAsia="仿宋" w:cs="仿宋"/>
      <w:color w:val="000000"/>
      <w:sz w:val="20"/>
      <w:szCs w:val="20"/>
      <w:u w:val="single"/>
    </w:rPr>
  </w:style>
  <w:style w:type="paragraph" w:customStyle="1" w:styleId="27">
    <w:name w:val="A_material_header"/>
    <w:basedOn w:val="17"/>
    <w:link w:val="28"/>
    <w:qFormat/>
    <w:uiPriority w:val="0"/>
    <w:pPr>
      <w:tabs>
        <w:tab w:val="center" w:pos="4153"/>
        <w:tab w:val="right" w:pos="8306"/>
      </w:tabs>
      <w:jc w:val="center"/>
    </w:pPr>
    <w:rPr>
      <w:sz w:val="18"/>
      <w:szCs w:val="18"/>
    </w:rPr>
  </w:style>
  <w:style w:type="character" w:customStyle="1" w:styleId="28">
    <w:name w:val="A_material_页眉 字符"/>
    <w:basedOn w:val="18"/>
    <w:link w:val="27"/>
    <w:qFormat/>
    <w:uiPriority w:val="0"/>
    <w:rPr>
      <w:sz w:val="18"/>
      <w:szCs w:val="18"/>
    </w:rPr>
  </w:style>
  <w:style w:type="paragraph" w:customStyle="1" w:styleId="29">
    <w:name w:val="A_material_footer"/>
    <w:basedOn w:val="17"/>
    <w:link w:val="30"/>
    <w:qFormat/>
    <w:uiPriority w:val="0"/>
    <w:pPr>
      <w:tabs>
        <w:tab w:val="center" w:pos="4153"/>
        <w:tab w:val="right" w:pos="8306"/>
      </w:tabs>
    </w:pPr>
    <w:rPr>
      <w:sz w:val="18"/>
      <w:szCs w:val="18"/>
    </w:rPr>
  </w:style>
  <w:style w:type="character" w:customStyle="1" w:styleId="30">
    <w:name w:val="A_material_页脚 字符"/>
    <w:basedOn w:val="18"/>
    <w:link w:val="29"/>
    <w:qFormat/>
    <w:uiPriority w:val="0"/>
    <w:rPr>
      <w:sz w:val="18"/>
      <w:szCs w:val="18"/>
    </w:rPr>
  </w:style>
  <w:style w:type="paragraph" w:customStyle="1" w:styleId="31">
    <w:name w:val="A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32">
    <w:name w:val="A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33">
    <w:name w:val="A_catalog_Default Paragraph Font"/>
    <w:semiHidden/>
    <w:qFormat/>
    <w:uiPriority w:val="0"/>
    <w:rPr>
      <w:rFonts w:ascii="Calibri" w:hAnsi="Calibri" w:eastAsia="宋体" w:cs="Times New Roman"/>
    </w:rPr>
  </w:style>
  <w:style w:type="table" w:customStyle="1" w:styleId="34">
    <w:name w:val="A_catalog_Normal Table"/>
    <w:semiHidden/>
    <w:qFormat/>
    <w:uiPriority w:val="0"/>
    <w:tblPr>
      <w:tblCellMar>
        <w:top w:w="0" w:type="dxa"/>
        <w:left w:w="108" w:type="dxa"/>
        <w:bottom w:w="0" w:type="dxa"/>
        <w:right w:w="108" w:type="dxa"/>
      </w:tblCellMar>
    </w:tblPr>
  </w:style>
  <w:style w:type="paragraph" w:customStyle="1" w:styleId="35">
    <w:name w:val="A_catalog_Body Text"/>
    <w:basedOn w:val="32"/>
    <w:semiHidden/>
    <w:qFormat/>
    <w:uiPriority w:val="0"/>
    <w:rPr>
      <w:rFonts w:ascii="仿宋_GB2312" w:hAnsi="仿宋_GB2312" w:eastAsia="仿宋_GB2312" w:cs="仿宋_GB2312"/>
      <w:sz w:val="31"/>
      <w:szCs w:val="31"/>
    </w:rPr>
  </w:style>
  <w:style w:type="paragraph" w:customStyle="1" w:styleId="36">
    <w:name w:val="A_catalog_header"/>
    <w:basedOn w:val="32"/>
    <w:link w:val="37"/>
    <w:qFormat/>
    <w:uiPriority w:val="0"/>
    <w:pPr>
      <w:tabs>
        <w:tab w:val="center" w:pos="4153"/>
        <w:tab w:val="right" w:pos="8306"/>
      </w:tabs>
      <w:jc w:val="center"/>
    </w:pPr>
    <w:rPr>
      <w:sz w:val="18"/>
      <w:szCs w:val="18"/>
    </w:rPr>
  </w:style>
  <w:style w:type="character" w:customStyle="1" w:styleId="37">
    <w:name w:val="A_catalog_页眉 字符"/>
    <w:basedOn w:val="33"/>
    <w:link w:val="36"/>
    <w:qFormat/>
    <w:uiPriority w:val="0"/>
    <w:rPr>
      <w:sz w:val="18"/>
      <w:szCs w:val="18"/>
    </w:rPr>
  </w:style>
  <w:style w:type="paragraph" w:customStyle="1" w:styleId="38">
    <w:name w:val="A_catalog_footer"/>
    <w:basedOn w:val="32"/>
    <w:link w:val="39"/>
    <w:qFormat/>
    <w:uiPriority w:val="0"/>
    <w:pPr>
      <w:tabs>
        <w:tab w:val="center" w:pos="4153"/>
        <w:tab w:val="right" w:pos="8306"/>
      </w:tabs>
    </w:pPr>
    <w:rPr>
      <w:sz w:val="18"/>
      <w:szCs w:val="18"/>
    </w:rPr>
  </w:style>
  <w:style w:type="character" w:customStyle="1" w:styleId="39">
    <w:name w:val="A_catalog_页脚 字符"/>
    <w:basedOn w:val="33"/>
    <w:link w:val="38"/>
    <w:qFormat/>
    <w:uiPriority w:val="0"/>
    <w:rPr>
      <w:sz w:val="18"/>
      <w:szCs w:val="18"/>
    </w:rPr>
  </w:style>
  <w:style w:type="paragraph" w:customStyle="1" w:styleId="40">
    <w:name w:val="B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41">
    <w:name w:val="B_material_Default Paragraph Font"/>
    <w:semiHidden/>
    <w:qFormat/>
    <w:uiPriority w:val="0"/>
    <w:rPr>
      <w:rFonts w:ascii="Calibri" w:hAnsi="Calibri" w:eastAsia="宋体" w:cs="Times New Roman"/>
    </w:rPr>
  </w:style>
  <w:style w:type="table" w:customStyle="1" w:styleId="42">
    <w:name w:val="B_material_Normal Table"/>
    <w:semiHidden/>
    <w:qFormat/>
    <w:uiPriority w:val="0"/>
    <w:tblPr>
      <w:tblCellMar>
        <w:top w:w="0" w:type="dxa"/>
        <w:left w:w="108" w:type="dxa"/>
        <w:bottom w:w="0" w:type="dxa"/>
        <w:right w:w="108" w:type="dxa"/>
      </w:tblCellMar>
    </w:tblPr>
  </w:style>
  <w:style w:type="paragraph" w:customStyle="1" w:styleId="43">
    <w:name w:val="B_material_Body Text"/>
    <w:basedOn w:val="40"/>
    <w:semiHidden/>
    <w:qFormat/>
    <w:uiPriority w:val="0"/>
    <w:rPr>
      <w:rFonts w:ascii="仿宋_GB2312" w:hAnsi="仿宋_GB2312" w:eastAsia="仿宋_GB2312" w:cs="仿宋_GB2312"/>
      <w:sz w:val="31"/>
      <w:szCs w:val="31"/>
    </w:rPr>
  </w:style>
  <w:style w:type="paragraph" w:customStyle="1" w:styleId="44">
    <w:name w:val="B_material_header"/>
    <w:basedOn w:val="40"/>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45">
    <w:name w:val="B_material_Table Text"/>
    <w:basedOn w:val="40"/>
    <w:semiHidden/>
    <w:qFormat/>
    <w:uiPriority w:val="0"/>
    <w:rPr>
      <w:rFonts w:ascii="仿宋_GB2312" w:hAnsi="仿宋_GB2312" w:eastAsia="仿宋_GB2312" w:cs="仿宋_GB2312"/>
      <w:sz w:val="20"/>
      <w:szCs w:val="20"/>
    </w:rPr>
  </w:style>
  <w:style w:type="table" w:customStyle="1" w:styleId="46">
    <w:name w:val="B_material_Table Normal"/>
    <w:unhideWhenUsed/>
    <w:qFormat/>
    <w:uiPriority w:val="0"/>
    <w:tblPr>
      <w:tblCellMar>
        <w:top w:w="0" w:type="dxa"/>
        <w:left w:w="0" w:type="dxa"/>
        <w:bottom w:w="0" w:type="dxa"/>
        <w:right w:w="0" w:type="dxa"/>
      </w:tblCellMar>
    </w:tblPr>
  </w:style>
  <w:style w:type="paragraph" w:customStyle="1" w:styleId="47">
    <w:name w:val="B_material_footer"/>
    <w:basedOn w:val="40"/>
    <w:link w:val="48"/>
    <w:qFormat/>
    <w:uiPriority w:val="0"/>
    <w:pPr>
      <w:tabs>
        <w:tab w:val="center" w:pos="4153"/>
        <w:tab w:val="right" w:pos="8306"/>
      </w:tabs>
    </w:pPr>
    <w:rPr>
      <w:sz w:val="18"/>
      <w:szCs w:val="18"/>
    </w:rPr>
  </w:style>
  <w:style w:type="character" w:customStyle="1" w:styleId="48">
    <w:name w:val="B_material_页脚 字符"/>
    <w:basedOn w:val="41"/>
    <w:link w:val="47"/>
    <w:qFormat/>
    <w:uiPriority w:val="0"/>
    <w:rPr>
      <w:sz w:val="18"/>
      <w:szCs w:val="18"/>
    </w:rPr>
  </w:style>
  <w:style w:type="paragraph" w:customStyle="1" w:styleId="49">
    <w:name w:val="B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50">
    <w:name w:val="B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51">
    <w:name w:val="B_catalog_Default Paragraph Font"/>
    <w:semiHidden/>
    <w:qFormat/>
    <w:uiPriority w:val="0"/>
    <w:rPr>
      <w:rFonts w:ascii="Calibri" w:hAnsi="Calibri" w:eastAsia="宋体" w:cs="Times New Roman"/>
    </w:rPr>
  </w:style>
  <w:style w:type="table" w:customStyle="1" w:styleId="52">
    <w:name w:val="B_catalog_Normal Table"/>
    <w:semiHidden/>
    <w:qFormat/>
    <w:uiPriority w:val="0"/>
    <w:tblPr>
      <w:tblCellMar>
        <w:top w:w="0" w:type="dxa"/>
        <w:left w:w="108" w:type="dxa"/>
        <w:bottom w:w="0" w:type="dxa"/>
        <w:right w:w="108" w:type="dxa"/>
      </w:tblCellMar>
    </w:tblPr>
  </w:style>
  <w:style w:type="paragraph" w:customStyle="1" w:styleId="53">
    <w:name w:val="B_catalog_Body Text"/>
    <w:basedOn w:val="50"/>
    <w:semiHidden/>
    <w:qFormat/>
    <w:uiPriority w:val="0"/>
    <w:rPr>
      <w:rFonts w:ascii="仿宋_GB2312" w:hAnsi="仿宋_GB2312" w:eastAsia="仿宋_GB2312" w:cs="仿宋_GB2312"/>
      <w:sz w:val="31"/>
      <w:szCs w:val="31"/>
    </w:rPr>
  </w:style>
  <w:style w:type="paragraph" w:customStyle="1" w:styleId="54">
    <w:name w:val="B_catalog_header"/>
    <w:basedOn w:val="50"/>
    <w:link w:val="55"/>
    <w:qFormat/>
    <w:uiPriority w:val="0"/>
    <w:pPr>
      <w:tabs>
        <w:tab w:val="center" w:pos="4153"/>
        <w:tab w:val="right" w:pos="8306"/>
      </w:tabs>
      <w:jc w:val="center"/>
    </w:pPr>
    <w:rPr>
      <w:sz w:val="18"/>
      <w:szCs w:val="18"/>
    </w:rPr>
  </w:style>
  <w:style w:type="character" w:customStyle="1" w:styleId="55">
    <w:name w:val="B_catalog_页眉 字符"/>
    <w:basedOn w:val="51"/>
    <w:link w:val="54"/>
    <w:qFormat/>
    <w:uiPriority w:val="0"/>
    <w:rPr>
      <w:sz w:val="18"/>
      <w:szCs w:val="18"/>
    </w:rPr>
  </w:style>
  <w:style w:type="paragraph" w:customStyle="1" w:styleId="56">
    <w:name w:val="B_catalog_footer"/>
    <w:basedOn w:val="50"/>
    <w:link w:val="57"/>
    <w:qFormat/>
    <w:uiPriority w:val="0"/>
    <w:pPr>
      <w:tabs>
        <w:tab w:val="center" w:pos="4153"/>
        <w:tab w:val="right" w:pos="8306"/>
      </w:tabs>
    </w:pPr>
    <w:rPr>
      <w:sz w:val="18"/>
      <w:szCs w:val="18"/>
    </w:rPr>
  </w:style>
  <w:style w:type="character" w:customStyle="1" w:styleId="57">
    <w:name w:val="B_catalog_页脚 字符"/>
    <w:basedOn w:val="51"/>
    <w:link w:val="56"/>
    <w:qFormat/>
    <w:uiPriority w:val="0"/>
    <w:rPr>
      <w:sz w:val="18"/>
      <w:szCs w:val="18"/>
    </w:rPr>
  </w:style>
  <w:style w:type="paragraph" w:customStyle="1" w:styleId="58">
    <w:name w:val="C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59">
    <w:name w:val="C_material_Default Paragraph Font"/>
    <w:semiHidden/>
    <w:qFormat/>
    <w:uiPriority w:val="0"/>
    <w:rPr>
      <w:rFonts w:ascii="Calibri" w:hAnsi="Calibri" w:eastAsia="宋体" w:cs="Times New Roman"/>
    </w:rPr>
  </w:style>
  <w:style w:type="table" w:customStyle="1" w:styleId="60">
    <w:name w:val="C_material_Normal Table"/>
    <w:semiHidden/>
    <w:qFormat/>
    <w:uiPriority w:val="0"/>
    <w:tblPr>
      <w:tblCellMar>
        <w:top w:w="0" w:type="dxa"/>
        <w:left w:w="108" w:type="dxa"/>
        <w:bottom w:w="0" w:type="dxa"/>
        <w:right w:w="108" w:type="dxa"/>
      </w:tblCellMar>
    </w:tblPr>
  </w:style>
  <w:style w:type="paragraph" w:customStyle="1" w:styleId="61">
    <w:name w:val="C_material_Body Text"/>
    <w:basedOn w:val="58"/>
    <w:semiHidden/>
    <w:qFormat/>
    <w:uiPriority w:val="0"/>
    <w:rPr>
      <w:rFonts w:ascii="仿宋_GB2312" w:hAnsi="仿宋_GB2312" w:eastAsia="仿宋_GB2312" w:cs="仿宋_GB2312"/>
      <w:sz w:val="31"/>
      <w:szCs w:val="31"/>
    </w:rPr>
  </w:style>
  <w:style w:type="paragraph" w:customStyle="1" w:styleId="62">
    <w:name w:val="C_material_header"/>
    <w:basedOn w:val="58"/>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63">
    <w:name w:val="C_material_Table Text"/>
    <w:basedOn w:val="58"/>
    <w:semiHidden/>
    <w:qFormat/>
    <w:uiPriority w:val="0"/>
    <w:rPr>
      <w:rFonts w:ascii="仿宋_GB2312" w:hAnsi="仿宋_GB2312" w:eastAsia="仿宋_GB2312" w:cs="仿宋_GB2312"/>
      <w:sz w:val="20"/>
      <w:szCs w:val="20"/>
    </w:rPr>
  </w:style>
  <w:style w:type="table" w:customStyle="1" w:styleId="64">
    <w:name w:val="C_material_Table Normal"/>
    <w:unhideWhenUsed/>
    <w:qFormat/>
    <w:uiPriority w:val="0"/>
    <w:tblPr>
      <w:tblCellMar>
        <w:top w:w="0" w:type="dxa"/>
        <w:left w:w="0" w:type="dxa"/>
        <w:bottom w:w="0" w:type="dxa"/>
        <w:right w:w="0" w:type="dxa"/>
      </w:tblCellMar>
    </w:tblPr>
  </w:style>
  <w:style w:type="paragraph" w:customStyle="1" w:styleId="65">
    <w:name w:val="C_material_footer"/>
    <w:basedOn w:val="58"/>
    <w:link w:val="66"/>
    <w:qFormat/>
    <w:uiPriority w:val="0"/>
    <w:pPr>
      <w:tabs>
        <w:tab w:val="center" w:pos="4153"/>
        <w:tab w:val="right" w:pos="8306"/>
      </w:tabs>
    </w:pPr>
    <w:rPr>
      <w:sz w:val="18"/>
      <w:szCs w:val="18"/>
    </w:rPr>
  </w:style>
  <w:style w:type="character" w:customStyle="1" w:styleId="66">
    <w:name w:val="C_material_页脚 字符"/>
    <w:basedOn w:val="59"/>
    <w:link w:val="65"/>
    <w:qFormat/>
    <w:uiPriority w:val="0"/>
    <w:rPr>
      <w:sz w:val="18"/>
      <w:szCs w:val="18"/>
    </w:rPr>
  </w:style>
  <w:style w:type="paragraph" w:customStyle="1" w:styleId="67">
    <w:name w:val="C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68">
    <w:name w:val="C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69">
    <w:name w:val="C_catalog_Default Paragraph Font"/>
    <w:semiHidden/>
    <w:qFormat/>
    <w:uiPriority w:val="0"/>
    <w:rPr>
      <w:rFonts w:ascii="Calibri" w:hAnsi="Calibri" w:eastAsia="宋体" w:cs="Times New Roman"/>
    </w:rPr>
  </w:style>
  <w:style w:type="table" w:customStyle="1" w:styleId="70">
    <w:name w:val="C_catalog_Normal Table"/>
    <w:semiHidden/>
    <w:qFormat/>
    <w:uiPriority w:val="0"/>
    <w:tblPr>
      <w:tblCellMar>
        <w:top w:w="0" w:type="dxa"/>
        <w:left w:w="108" w:type="dxa"/>
        <w:bottom w:w="0" w:type="dxa"/>
        <w:right w:w="108" w:type="dxa"/>
      </w:tblCellMar>
    </w:tblPr>
  </w:style>
  <w:style w:type="paragraph" w:customStyle="1" w:styleId="71">
    <w:name w:val="C_catalog_Body Text"/>
    <w:basedOn w:val="68"/>
    <w:semiHidden/>
    <w:qFormat/>
    <w:uiPriority w:val="0"/>
    <w:rPr>
      <w:rFonts w:ascii="仿宋_GB2312" w:hAnsi="仿宋_GB2312" w:eastAsia="仿宋_GB2312" w:cs="仿宋_GB2312"/>
      <w:sz w:val="31"/>
      <w:szCs w:val="31"/>
    </w:rPr>
  </w:style>
  <w:style w:type="paragraph" w:customStyle="1" w:styleId="72">
    <w:name w:val="C_catalog_header"/>
    <w:basedOn w:val="68"/>
    <w:link w:val="73"/>
    <w:qFormat/>
    <w:uiPriority w:val="0"/>
    <w:pPr>
      <w:tabs>
        <w:tab w:val="center" w:pos="4153"/>
        <w:tab w:val="right" w:pos="8306"/>
      </w:tabs>
      <w:jc w:val="center"/>
    </w:pPr>
    <w:rPr>
      <w:sz w:val="18"/>
      <w:szCs w:val="18"/>
    </w:rPr>
  </w:style>
  <w:style w:type="character" w:customStyle="1" w:styleId="73">
    <w:name w:val="C_catalog_页眉 字符"/>
    <w:basedOn w:val="69"/>
    <w:link w:val="72"/>
    <w:qFormat/>
    <w:uiPriority w:val="0"/>
    <w:rPr>
      <w:sz w:val="18"/>
      <w:szCs w:val="18"/>
    </w:rPr>
  </w:style>
  <w:style w:type="paragraph" w:customStyle="1" w:styleId="74">
    <w:name w:val="C_catalog_footer"/>
    <w:basedOn w:val="68"/>
    <w:link w:val="75"/>
    <w:qFormat/>
    <w:uiPriority w:val="0"/>
    <w:pPr>
      <w:tabs>
        <w:tab w:val="center" w:pos="4153"/>
        <w:tab w:val="right" w:pos="8306"/>
      </w:tabs>
    </w:pPr>
    <w:rPr>
      <w:sz w:val="18"/>
      <w:szCs w:val="18"/>
    </w:rPr>
  </w:style>
  <w:style w:type="character" w:customStyle="1" w:styleId="75">
    <w:name w:val="C_catalog_页脚 字符"/>
    <w:basedOn w:val="69"/>
    <w:link w:val="74"/>
    <w:qFormat/>
    <w:uiPriority w:val="0"/>
    <w:rPr>
      <w:sz w:val="18"/>
      <w:szCs w:val="18"/>
    </w:rPr>
  </w:style>
  <w:style w:type="paragraph" w:customStyle="1" w:styleId="76">
    <w:name w:val="D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77">
    <w:name w:val="D_material_Default Paragraph Font"/>
    <w:semiHidden/>
    <w:qFormat/>
    <w:uiPriority w:val="0"/>
    <w:rPr>
      <w:rFonts w:ascii="Calibri" w:hAnsi="Calibri" w:eastAsia="宋体" w:cs="Times New Roman"/>
    </w:rPr>
  </w:style>
  <w:style w:type="table" w:customStyle="1" w:styleId="78">
    <w:name w:val="D_material_Normal Table"/>
    <w:semiHidden/>
    <w:qFormat/>
    <w:uiPriority w:val="0"/>
    <w:tblPr>
      <w:tblCellMar>
        <w:top w:w="0" w:type="dxa"/>
        <w:left w:w="108" w:type="dxa"/>
        <w:bottom w:w="0" w:type="dxa"/>
        <w:right w:w="108" w:type="dxa"/>
      </w:tblCellMar>
    </w:tblPr>
  </w:style>
  <w:style w:type="paragraph" w:customStyle="1" w:styleId="79">
    <w:name w:val="D_material_Body Text"/>
    <w:basedOn w:val="76"/>
    <w:semiHidden/>
    <w:qFormat/>
    <w:uiPriority w:val="0"/>
    <w:rPr>
      <w:rFonts w:ascii="仿宋_GB2312" w:hAnsi="仿宋_GB2312" w:eastAsia="仿宋_GB2312" w:cs="仿宋_GB2312"/>
      <w:sz w:val="31"/>
      <w:szCs w:val="31"/>
    </w:rPr>
  </w:style>
  <w:style w:type="paragraph" w:customStyle="1" w:styleId="80">
    <w:name w:val="D_material_header"/>
    <w:basedOn w:val="76"/>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81">
    <w:name w:val="D_material_Table Text"/>
    <w:basedOn w:val="76"/>
    <w:semiHidden/>
    <w:qFormat/>
    <w:uiPriority w:val="0"/>
    <w:rPr>
      <w:rFonts w:ascii="仿宋_GB2312" w:hAnsi="仿宋_GB2312" w:eastAsia="仿宋_GB2312" w:cs="仿宋_GB2312"/>
      <w:sz w:val="20"/>
      <w:szCs w:val="20"/>
    </w:rPr>
  </w:style>
  <w:style w:type="table" w:customStyle="1" w:styleId="82">
    <w:name w:val="D_material_Table Normal"/>
    <w:unhideWhenUsed/>
    <w:qFormat/>
    <w:uiPriority w:val="0"/>
    <w:tblPr>
      <w:tblCellMar>
        <w:top w:w="0" w:type="dxa"/>
        <w:left w:w="0" w:type="dxa"/>
        <w:bottom w:w="0" w:type="dxa"/>
        <w:right w:w="0" w:type="dxa"/>
      </w:tblCellMar>
    </w:tblPr>
  </w:style>
  <w:style w:type="paragraph" w:customStyle="1" w:styleId="83">
    <w:name w:val="D_material_footer"/>
    <w:basedOn w:val="76"/>
    <w:link w:val="84"/>
    <w:qFormat/>
    <w:uiPriority w:val="0"/>
    <w:pPr>
      <w:tabs>
        <w:tab w:val="center" w:pos="4153"/>
        <w:tab w:val="right" w:pos="8306"/>
      </w:tabs>
    </w:pPr>
    <w:rPr>
      <w:sz w:val="18"/>
      <w:szCs w:val="18"/>
    </w:rPr>
  </w:style>
  <w:style w:type="character" w:customStyle="1" w:styleId="84">
    <w:name w:val="D_material_页脚 字符"/>
    <w:basedOn w:val="77"/>
    <w:link w:val="83"/>
    <w:qFormat/>
    <w:uiPriority w:val="0"/>
    <w:rPr>
      <w:sz w:val="18"/>
      <w:szCs w:val="18"/>
    </w:rPr>
  </w:style>
  <w:style w:type="paragraph" w:customStyle="1" w:styleId="85">
    <w:name w:val="D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86">
    <w:name w:val="D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87">
    <w:name w:val="D_catalog_Default Paragraph Font"/>
    <w:semiHidden/>
    <w:qFormat/>
    <w:uiPriority w:val="0"/>
    <w:rPr>
      <w:rFonts w:ascii="Calibri" w:hAnsi="Calibri" w:eastAsia="宋体" w:cs="Times New Roman"/>
    </w:rPr>
  </w:style>
  <w:style w:type="table" w:customStyle="1" w:styleId="88">
    <w:name w:val="D_catalog_Normal Table"/>
    <w:semiHidden/>
    <w:qFormat/>
    <w:uiPriority w:val="0"/>
    <w:tblPr>
      <w:tblCellMar>
        <w:top w:w="0" w:type="dxa"/>
        <w:left w:w="108" w:type="dxa"/>
        <w:bottom w:w="0" w:type="dxa"/>
        <w:right w:w="108" w:type="dxa"/>
      </w:tblCellMar>
    </w:tblPr>
  </w:style>
  <w:style w:type="paragraph" w:customStyle="1" w:styleId="89">
    <w:name w:val="D_catalog_Body Text"/>
    <w:basedOn w:val="86"/>
    <w:semiHidden/>
    <w:qFormat/>
    <w:uiPriority w:val="0"/>
    <w:rPr>
      <w:rFonts w:ascii="仿宋_GB2312" w:hAnsi="仿宋_GB2312" w:eastAsia="仿宋_GB2312" w:cs="仿宋_GB2312"/>
      <w:sz w:val="31"/>
      <w:szCs w:val="31"/>
    </w:rPr>
  </w:style>
  <w:style w:type="paragraph" w:customStyle="1" w:styleId="90">
    <w:name w:val="D_catalog_header"/>
    <w:basedOn w:val="86"/>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91">
    <w:name w:val="D_catalog_footer"/>
    <w:basedOn w:val="86"/>
    <w:link w:val="92"/>
    <w:qFormat/>
    <w:uiPriority w:val="0"/>
    <w:pPr>
      <w:tabs>
        <w:tab w:val="center" w:pos="4153"/>
        <w:tab w:val="right" w:pos="8306"/>
      </w:tabs>
    </w:pPr>
    <w:rPr>
      <w:sz w:val="18"/>
      <w:szCs w:val="18"/>
    </w:rPr>
  </w:style>
  <w:style w:type="character" w:customStyle="1" w:styleId="92">
    <w:name w:val="D_catalog_页脚 字符"/>
    <w:basedOn w:val="87"/>
    <w:link w:val="91"/>
    <w:qFormat/>
    <w:uiPriority w:val="0"/>
    <w:rPr>
      <w:sz w:val="18"/>
      <w:szCs w:val="18"/>
    </w:rPr>
  </w:style>
  <w:style w:type="paragraph" w:customStyle="1" w:styleId="93">
    <w:name w:val="E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94">
    <w:name w:val="E_material_Default Paragraph Font"/>
    <w:semiHidden/>
    <w:qFormat/>
    <w:uiPriority w:val="0"/>
    <w:rPr>
      <w:rFonts w:ascii="Calibri" w:hAnsi="Calibri" w:eastAsia="宋体" w:cs="Times New Roman"/>
    </w:rPr>
  </w:style>
  <w:style w:type="table" w:customStyle="1" w:styleId="95">
    <w:name w:val="E_material_Normal Table"/>
    <w:semiHidden/>
    <w:qFormat/>
    <w:uiPriority w:val="0"/>
    <w:tblPr>
      <w:tblCellMar>
        <w:top w:w="0" w:type="dxa"/>
        <w:left w:w="108" w:type="dxa"/>
        <w:bottom w:w="0" w:type="dxa"/>
        <w:right w:w="108" w:type="dxa"/>
      </w:tblCellMar>
    </w:tblPr>
  </w:style>
  <w:style w:type="paragraph" w:customStyle="1" w:styleId="96">
    <w:name w:val="E_material_Body Text"/>
    <w:basedOn w:val="93"/>
    <w:semiHidden/>
    <w:qFormat/>
    <w:uiPriority w:val="0"/>
    <w:rPr>
      <w:rFonts w:ascii="仿宋_GB2312" w:hAnsi="仿宋_GB2312" w:eastAsia="仿宋_GB2312" w:cs="仿宋_GB2312"/>
      <w:sz w:val="31"/>
      <w:szCs w:val="31"/>
    </w:rPr>
  </w:style>
  <w:style w:type="paragraph" w:customStyle="1" w:styleId="97">
    <w:name w:val="E_material_header"/>
    <w:basedOn w:val="93"/>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98">
    <w:name w:val="E_material_Table Text"/>
    <w:basedOn w:val="93"/>
    <w:semiHidden/>
    <w:qFormat/>
    <w:uiPriority w:val="0"/>
    <w:rPr>
      <w:rFonts w:ascii="仿宋_GB2312" w:hAnsi="仿宋_GB2312" w:eastAsia="仿宋_GB2312" w:cs="仿宋_GB2312"/>
      <w:sz w:val="20"/>
      <w:szCs w:val="20"/>
    </w:rPr>
  </w:style>
  <w:style w:type="table" w:customStyle="1" w:styleId="99">
    <w:name w:val="E_material_Table Normal"/>
    <w:unhideWhenUsed/>
    <w:qFormat/>
    <w:uiPriority w:val="0"/>
    <w:tblPr>
      <w:tblCellMar>
        <w:top w:w="0" w:type="dxa"/>
        <w:left w:w="0" w:type="dxa"/>
        <w:bottom w:w="0" w:type="dxa"/>
        <w:right w:w="0" w:type="dxa"/>
      </w:tblCellMar>
    </w:tblPr>
  </w:style>
  <w:style w:type="paragraph" w:customStyle="1" w:styleId="100">
    <w:name w:val="E_material_footer"/>
    <w:basedOn w:val="93"/>
    <w:link w:val="101"/>
    <w:qFormat/>
    <w:uiPriority w:val="0"/>
    <w:pPr>
      <w:tabs>
        <w:tab w:val="center" w:pos="4153"/>
        <w:tab w:val="right" w:pos="8306"/>
      </w:tabs>
    </w:pPr>
    <w:rPr>
      <w:sz w:val="18"/>
      <w:szCs w:val="18"/>
    </w:rPr>
  </w:style>
  <w:style w:type="character" w:customStyle="1" w:styleId="101">
    <w:name w:val="E_material_页脚 字符"/>
    <w:basedOn w:val="94"/>
    <w:link w:val="100"/>
    <w:qFormat/>
    <w:uiPriority w:val="0"/>
    <w:rPr>
      <w:sz w:val="18"/>
      <w:szCs w:val="18"/>
    </w:rPr>
  </w:style>
  <w:style w:type="paragraph" w:customStyle="1" w:styleId="102">
    <w:name w:val="E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103">
    <w:name w:val="E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04">
    <w:name w:val="E_catalog_Default Paragraph Font"/>
    <w:semiHidden/>
    <w:qFormat/>
    <w:uiPriority w:val="0"/>
    <w:rPr>
      <w:rFonts w:ascii="Calibri" w:hAnsi="Calibri" w:eastAsia="宋体" w:cs="Times New Roman"/>
    </w:rPr>
  </w:style>
  <w:style w:type="table" w:customStyle="1" w:styleId="105">
    <w:name w:val="E_catalog_Normal Table"/>
    <w:semiHidden/>
    <w:qFormat/>
    <w:uiPriority w:val="0"/>
    <w:tblPr>
      <w:tblCellMar>
        <w:top w:w="0" w:type="dxa"/>
        <w:left w:w="108" w:type="dxa"/>
        <w:bottom w:w="0" w:type="dxa"/>
        <w:right w:w="108" w:type="dxa"/>
      </w:tblCellMar>
    </w:tblPr>
  </w:style>
  <w:style w:type="paragraph" w:customStyle="1" w:styleId="106">
    <w:name w:val="E_catalog_Body Text"/>
    <w:basedOn w:val="103"/>
    <w:semiHidden/>
    <w:qFormat/>
    <w:uiPriority w:val="0"/>
    <w:rPr>
      <w:rFonts w:ascii="仿宋_GB2312" w:hAnsi="仿宋_GB2312" w:eastAsia="仿宋_GB2312" w:cs="仿宋_GB2312"/>
      <w:sz w:val="31"/>
      <w:szCs w:val="31"/>
    </w:rPr>
  </w:style>
  <w:style w:type="paragraph" w:customStyle="1" w:styleId="107">
    <w:name w:val="E_catalog_header"/>
    <w:basedOn w:val="103"/>
    <w:link w:val="108"/>
    <w:qFormat/>
    <w:uiPriority w:val="0"/>
    <w:pPr>
      <w:tabs>
        <w:tab w:val="center" w:pos="4153"/>
        <w:tab w:val="right" w:pos="8306"/>
      </w:tabs>
      <w:jc w:val="center"/>
    </w:pPr>
    <w:rPr>
      <w:sz w:val="18"/>
      <w:szCs w:val="18"/>
    </w:rPr>
  </w:style>
  <w:style w:type="character" w:customStyle="1" w:styleId="108">
    <w:name w:val="E_catalog_页眉 字符"/>
    <w:basedOn w:val="104"/>
    <w:link w:val="107"/>
    <w:qFormat/>
    <w:uiPriority w:val="0"/>
    <w:rPr>
      <w:sz w:val="18"/>
      <w:szCs w:val="18"/>
    </w:rPr>
  </w:style>
  <w:style w:type="paragraph" w:customStyle="1" w:styleId="109">
    <w:name w:val="E_catalog_footer"/>
    <w:basedOn w:val="103"/>
    <w:link w:val="110"/>
    <w:qFormat/>
    <w:uiPriority w:val="0"/>
    <w:pPr>
      <w:tabs>
        <w:tab w:val="center" w:pos="4153"/>
        <w:tab w:val="right" w:pos="8306"/>
      </w:tabs>
    </w:pPr>
    <w:rPr>
      <w:sz w:val="18"/>
      <w:szCs w:val="18"/>
    </w:rPr>
  </w:style>
  <w:style w:type="character" w:customStyle="1" w:styleId="110">
    <w:name w:val="E_catalog_页脚 字符"/>
    <w:basedOn w:val="104"/>
    <w:link w:val="109"/>
    <w:qFormat/>
    <w:uiPriority w:val="0"/>
    <w:rPr>
      <w:sz w:val="18"/>
      <w:szCs w:val="18"/>
    </w:rPr>
  </w:style>
  <w:style w:type="paragraph" w:customStyle="1" w:styleId="111">
    <w:name w:val="F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12">
    <w:name w:val="F_material_Default Paragraph Font"/>
    <w:semiHidden/>
    <w:qFormat/>
    <w:uiPriority w:val="0"/>
    <w:rPr>
      <w:rFonts w:ascii="Calibri" w:hAnsi="Calibri" w:eastAsia="宋体" w:cs="Times New Roman"/>
    </w:rPr>
  </w:style>
  <w:style w:type="table" w:customStyle="1" w:styleId="113">
    <w:name w:val="F_material_Normal Table"/>
    <w:semiHidden/>
    <w:qFormat/>
    <w:uiPriority w:val="0"/>
    <w:tblPr>
      <w:tblCellMar>
        <w:top w:w="0" w:type="dxa"/>
        <w:left w:w="108" w:type="dxa"/>
        <w:bottom w:w="0" w:type="dxa"/>
        <w:right w:w="108" w:type="dxa"/>
      </w:tblCellMar>
    </w:tblPr>
  </w:style>
  <w:style w:type="paragraph" w:customStyle="1" w:styleId="114">
    <w:name w:val="F_material_Body Text"/>
    <w:basedOn w:val="111"/>
    <w:semiHidden/>
    <w:qFormat/>
    <w:uiPriority w:val="0"/>
    <w:rPr>
      <w:rFonts w:ascii="仿宋_GB2312" w:hAnsi="仿宋_GB2312" w:eastAsia="仿宋_GB2312" w:cs="仿宋_GB2312"/>
      <w:sz w:val="31"/>
      <w:szCs w:val="31"/>
    </w:rPr>
  </w:style>
  <w:style w:type="paragraph" w:customStyle="1" w:styleId="115">
    <w:name w:val="F_material_Table Text"/>
    <w:basedOn w:val="111"/>
    <w:semiHidden/>
    <w:qFormat/>
    <w:uiPriority w:val="0"/>
    <w:rPr>
      <w:rFonts w:ascii="仿宋_GB2312" w:hAnsi="仿宋_GB2312" w:eastAsia="仿宋_GB2312" w:cs="仿宋_GB2312"/>
      <w:sz w:val="20"/>
      <w:szCs w:val="20"/>
    </w:rPr>
  </w:style>
  <w:style w:type="table" w:customStyle="1" w:styleId="116">
    <w:name w:val="F_material_Table Normal"/>
    <w:unhideWhenUsed/>
    <w:qFormat/>
    <w:uiPriority w:val="0"/>
    <w:tblPr>
      <w:tblCellMar>
        <w:top w:w="0" w:type="dxa"/>
        <w:left w:w="0" w:type="dxa"/>
        <w:bottom w:w="0" w:type="dxa"/>
        <w:right w:w="0" w:type="dxa"/>
      </w:tblCellMar>
    </w:tblPr>
  </w:style>
  <w:style w:type="paragraph" w:customStyle="1" w:styleId="117">
    <w:name w:val="F_material_header"/>
    <w:basedOn w:val="111"/>
    <w:link w:val="118"/>
    <w:qFormat/>
    <w:uiPriority w:val="0"/>
    <w:pPr>
      <w:tabs>
        <w:tab w:val="center" w:pos="4153"/>
        <w:tab w:val="right" w:pos="8306"/>
      </w:tabs>
      <w:jc w:val="center"/>
    </w:pPr>
    <w:rPr>
      <w:sz w:val="18"/>
      <w:szCs w:val="18"/>
    </w:rPr>
  </w:style>
  <w:style w:type="character" w:customStyle="1" w:styleId="118">
    <w:name w:val="F_material_页眉 字符"/>
    <w:basedOn w:val="112"/>
    <w:link w:val="117"/>
    <w:qFormat/>
    <w:uiPriority w:val="0"/>
    <w:rPr>
      <w:sz w:val="18"/>
      <w:szCs w:val="18"/>
    </w:rPr>
  </w:style>
  <w:style w:type="paragraph" w:customStyle="1" w:styleId="119">
    <w:name w:val="F_material_footer"/>
    <w:basedOn w:val="111"/>
    <w:link w:val="120"/>
    <w:qFormat/>
    <w:uiPriority w:val="0"/>
    <w:pPr>
      <w:tabs>
        <w:tab w:val="center" w:pos="4153"/>
        <w:tab w:val="right" w:pos="8306"/>
      </w:tabs>
    </w:pPr>
    <w:rPr>
      <w:sz w:val="18"/>
      <w:szCs w:val="18"/>
    </w:rPr>
  </w:style>
  <w:style w:type="character" w:customStyle="1" w:styleId="120">
    <w:name w:val="F_material_页脚 字符"/>
    <w:basedOn w:val="112"/>
    <w:link w:val="119"/>
    <w:qFormat/>
    <w:uiPriority w:val="0"/>
    <w:rPr>
      <w:sz w:val="18"/>
      <w:szCs w:val="18"/>
    </w:rPr>
  </w:style>
  <w:style w:type="paragraph" w:customStyle="1" w:styleId="121">
    <w:name w:val="F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122">
    <w:name w:val="F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23">
    <w:name w:val="F_catalog_Default Paragraph Font"/>
    <w:semiHidden/>
    <w:qFormat/>
    <w:uiPriority w:val="0"/>
    <w:rPr>
      <w:rFonts w:ascii="Calibri" w:hAnsi="Calibri" w:eastAsia="宋体" w:cs="Times New Roman"/>
    </w:rPr>
  </w:style>
  <w:style w:type="table" w:customStyle="1" w:styleId="124">
    <w:name w:val="F_catalog_Normal Table"/>
    <w:semiHidden/>
    <w:qFormat/>
    <w:uiPriority w:val="0"/>
    <w:tblPr>
      <w:tblCellMar>
        <w:top w:w="0" w:type="dxa"/>
        <w:left w:w="108" w:type="dxa"/>
        <w:bottom w:w="0" w:type="dxa"/>
        <w:right w:w="108" w:type="dxa"/>
      </w:tblCellMar>
    </w:tblPr>
  </w:style>
  <w:style w:type="paragraph" w:customStyle="1" w:styleId="125">
    <w:name w:val="F_catalog_Body Text"/>
    <w:basedOn w:val="122"/>
    <w:semiHidden/>
    <w:qFormat/>
    <w:uiPriority w:val="0"/>
    <w:rPr>
      <w:rFonts w:ascii="仿宋_GB2312" w:hAnsi="仿宋_GB2312" w:eastAsia="仿宋_GB2312" w:cs="仿宋_GB2312"/>
      <w:sz w:val="31"/>
      <w:szCs w:val="31"/>
    </w:rPr>
  </w:style>
  <w:style w:type="paragraph" w:customStyle="1" w:styleId="126">
    <w:name w:val="F_catalog_header"/>
    <w:basedOn w:val="122"/>
    <w:link w:val="127"/>
    <w:qFormat/>
    <w:uiPriority w:val="0"/>
    <w:pPr>
      <w:tabs>
        <w:tab w:val="center" w:pos="4153"/>
        <w:tab w:val="right" w:pos="8306"/>
      </w:tabs>
      <w:jc w:val="center"/>
    </w:pPr>
    <w:rPr>
      <w:sz w:val="18"/>
      <w:szCs w:val="18"/>
    </w:rPr>
  </w:style>
  <w:style w:type="character" w:customStyle="1" w:styleId="127">
    <w:name w:val="F_catalog_页眉 字符"/>
    <w:basedOn w:val="123"/>
    <w:link w:val="126"/>
    <w:qFormat/>
    <w:uiPriority w:val="0"/>
    <w:rPr>
      <w:sz w:val="18"/>
      <w:szCs w:val="18"/>
    </w:rPr>
  </w:style>
  <w:style w:type="paragraph" w:customStyle="1" w:styleId="128">
    <w:name w:val="F_catalog_footer"/>
    <w:basedOn w:val="122"/>
    <w:link w:val="129"/>
    <w:qFormat/>
    <w:uiPriority w:val="0"/>
    <w:pPr>
      <w:tabs>
        <w:tab w:val="center" w:pos="4153"/>
        <w:tab w:val="right" w:pos="8306"/>
      </w:tabs>
    </w:pPr>
    <w:rPr>
      <w:sz w:val="18"/>
      <w:szCs w:val="18"/>
    </w:rPr>
  </w:style>
  <w:style w:type="character" w:customStyle="1" w:styleId="129">
    <w:name w:val="F_catalog_页脚 字符"/>
    <w:basedOn w:val="123"/>
    <w:link w:val="128"/>
    <w:qFormat/>
    <w:uiPriority w:val="0"/>
    <w:rPr>
      <w:sz w:val="18"/>
      <w:szCs w:val="18"/>
    </w:rPr>
  </w:style>
  <w:style w:type="paragraph" w:customStyle="1" w:styleId="130">
    <w:name w:val="Title"/>
    <w:qFormat/>
    <w:uiPriority w:val="0"/>
    <w:pPr>
      <w:kinsoku/>
    </w:pPr>
    <w:rPr>
      <w:rFonts w:ascii="微软雅黑" w:hAnsi="微软雅黑" w:eastAsia="微软雅黑" w:cs="微软雅黑"/>
      <w:color w:val="000000"/>
      <w:sz w:val="43"/>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1243</Words>
  <Characters>1321</Characters>
  <Lines>531</Lines>
  <Paragraphs>357</Paragraphs>
  <TotalTime>17</TotalTime>
  <ScaleCrop>false</ScaleCrop>
  <LinksUpToDate>false</LinksUpToDate>
  <CharactersWithSpaces>1321</CharactersWithSpaces>
  <Application>WPS Office_12.8.2.19825_F1E327BC-269C-435d-A152-05C5408002CA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2026-09-01T15:08:00Z</dcterms:created>
  <dc:creator>Administrator</dc:creator>
  <cp:lastModifiedBy>uoe</cp:lastModifiedBy>
  <cp:lastPrinted>2026-09-04T08:09:00Z</cp:lastPrinted>
  <dcterms:modified xsi:type="dcterms:W3CDTF">2026-09-22T11:18:28Z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2052-12.8.2.19825</vt:lpwstr>
  </property>
  <property fmtid="{D5CDD505-2E9C-101B-9397-08002B2CF9AE}" pid="3" name="KSOTemplateDocerSaveRecord">
    <vt:lpwstr>eyJoZGlkIjoiNzRkN2NlYjg0ZDAyODEyNjA5Y2IzZTUyMzgwNjQzZTgiLCJ1c2VySWQiOiIzOTkyOTU1MTQifQ==</vt:lpwstr>
  </property>
  <property fmtid="{D5CDD505-2E9C-101B-9397-08002B2CF9AE}" pid="4" name="ICV">
    <vt:lpwstr>D457690F21E44EDD8DC204480CF57676_13</vt:lpwstr>
  </property>
</Properties>
</file>